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5B53" w14:textId="11AABA70" w:rsidR="00B963C4" w:rsidRDefault="00A62D85">
      <w:pPr>
        <w:spacing w:after="480" w:line="320" w:lineRule="auto"/>
        <w:jc w:val="right"/>
      </w:pPr>
      <w:r>
        <w:t xml:space="preserve">San Martín de los Andes, </w:t>
      </w:r>
      <w:r w:rsidR="0027642C">
        <w:t>27</w:t>
      </w:r>
      <w:r>
        <w:t xml:space="preserve"> de </w:t>
      </w:r>
      <w:r w:rsidR="0027642C">
        <w:t>abril</w:t>
      </w:r>
      <w:r>
        <w:t xml:space="preserve"> de 2026.-</w:t>
      </w:r>
    </w:p>
    <w:p w14:paraId="390F509A" w14:textId="17B1BCD9" w:rsidR="00B963C4" w:rsidRPr="0027642C" w:rsidRDefault="00A62D85" w:rsidP="0027642C">
      <w:pPr>
        <w:spacing w:after="200"/>
        <w:jc w:val="both"/>
        <w:rPr>
          <w:b/>
          <w:bCs/>
        </w:rPr>
      </w:pPr>
      <w:r w:rsidRPr="0027642C">
        <w:rPr>
          <w:b/>
          <w:bCs/>
        </w:rPr>
        <w:t xml:space="preserve">A las </w:t>
      </w:r>
      <w:proofErr w:type="spellStart"/>
      <w:r w:rsidRPr="0027642C">
        <w:rPr>
          <w:b/>
          <w:bCs/>
        </w:rPr>
        <w:t>Lonko</w:t>
      </w:r>
      <w:proofErr w:type="spellEnd"/>
      <w:r w:rsidRPr="0027642C">
        <w:rPr>
          <w:b/>
          <w:bCs/>
        </w:rPr>
        <w:t xml:space="preserve"> de las Comunidades Mapuche</w:t>
      </w:r>
    </w:p>
    <w:p w14:paraId="1B93E86F" w14:textId="77777777" w:rsidR="00B963C4" w:rsidRPr="0027642C" w:rsidRDefault="00A62D85" w:rsidP="0027642C">
      <w:pPr>
        <w:spacing w:after="200"/>
        <w:jc w:val="both"/>
        <w:rPr>
          <w:b/>
          <w:bCs/>
        </w:rPr>
      </w:pPr>
      <w:r w:rsidRPr="0027642C">
        <w:rPr>
          <w:b/>
          <w:bCs/>
        </w:rPr>
        <w:t>Lof Vera y Lof Curruhuinca</w:t>
      </w:r>
    </w:p>
    <w:p w14:paraId="14489E8D" w14:textId="77777777" w:rsidR="00B963C4" w:rsidRPr="0027642C" w:rsidRDefault="00A62D85" w:rsidP="0027642C">
      <w:pPr>
        <w:spacing w:after="200"/>
        <w:jc w:val="both"/>
        <w:rPr>
          <w:b/>
          <w:bCs/>
        </w:rPr>
      </w:pPr>
      <w:r w:rsidRPr="0027642C">
        <w:rPr>
          <w:b/>
          <w:bCs/>
        </w:rPr>
        <w:t>Sra. Eliana Yanet Vera</w:t>
      </w:r>
    </w:p>
    <w:p w14:paraId="40F751DA" w14:textId="77777777" w:rsidR="00B963C4" w:rsidRPr="0027642C" w:rsidRDefault="00A62D85" w:rsidP="0027642C">
      <w:pPr>
        <w:spacing w:after="200"/>
        <w:jc w:val="both"/>
        <w:rPr>
          <w:b/>
          <w:bCs/>
        </w:rPr>
      </w:pPr>
      <w:r w:rsidRPr="0027642C">
        <w:rPr>
          <w:b/>
          <w:bCs/>
        </w:rPr>
        <w:t>Sra. Cristina Curruhuinca</w:t>
      </w:r>
    </w:p>
    <w:p w14:paraId="6B0BEEBC" w14:textId="77777777" w:rsidR="00B963C4" w:rsidRPr="0027642C" w:rsidRDefault="00A62D85" w:rsidP="0027642C">
      <w:pPr>
        <w:spacing w:after="360"/>
        <w:jc w:val="both"/>
        <w:rPr>
          <w:b/>
          <w:bCs/>
          <w:u w:val="single"/>
        </w:rPr>
      </w:pPr>
      <w:r w:rsidRPr="0027642C">
        <w:rPr>
          <w:b/>
          <w:bCs/>
          <w:u w:val="single"/>
        </w:rPr>
        <w:t>S                /                D</w:t>
      </w:r>
    </w:p>
    <w:p w14:paraId="43D29AA2" w14:textId="77777777" w:rsidR="00B963C4" w:rsidRPr="0027642C" w:rsidRDefault="00A62D85" w:rsidP="0027642C">
      <w:pPr>
        <w:spacing w:after="480" w:line="320" w:lineRule="auto"/>
        <w:jc w:val="right"/>
        <w:rPr>
          <w:i/>
          <w:iCs/>
        </w:rPr>
      </w:pPr>
      <w:r w:rsidRPr="0027642C">
        <w:rPr>
          <w:b/>
          <w:bCs/>
          <w:i/>
          <w:iCs/>
        </w:rPr>
        <w:t xml:space="preserve">Ref.: </w:t>
      </w:r>
      <w:r w:rsidRPr="0027642C">
        <w:rPr>
          <w:i/>
          <w:iCs/>
        </w:rPr>
        <w:t xml:space="preserve">Respuesta institucional a la presentación del 27 de abril de 2026 (Orden 555 - 146 - Entrada). Proyecto “Mejoramiento Playa de Estacionamiento Cerro </w:t>
      </w:r>
      <w:proofErr w:type="spellStart"/>
      <w:r w:rsidRPr="0027642C">
        <w:rPr>
          <w:i/>
          <w:iCs/>
        </w:rPr>
        <w:t>Chapelco</w:t>
      </w:r>
      <w:proofErr w:type="spellEnd"/>
      <w:r w:rsidRPr="0027642C">
        <w:rPr>
          <w:i/>
          <w:iCs/>
        </w:rPr>
        <w:t xml:space="preserve">”. </w:t>
      </w:r>
      <w:proofErr w:type="spellStart"/>
      <w:r w:rsidRPr="0027642C">
        <w:rPr>
          <w:i/>
          <w:iCs/>
        </w:rPr>
        <w:t>Expte</w:t>
      </w:r>
      <w:proofErr w:type="spellEnd"/>
      <w:r w:rsidRPr="0027642C">
        <w:rPr>
          <w:i/>
          <w:iCs/>
        </w:rPr>
        <w:t xml:space="preserve">. </w:t>
      </w:r>
      <w:proofErr w:type="spellStart"/>
      <w:r w:rsidRPr="0027642C">
        <w:rPr>
          <w:i/>
          <w:iCs/>
        </w:rPr>
        <w:t>N°</w:t>
      </w:r>
      <w:proofErr w:type="spellEnd"/>
      <w:r w:rsidRPr="0027642C">
        <w:rPr>
          <w:i/>
          <w:iCs/>
        </w:rPr>
        <w:t xml:space="preserve"> 05000-188/2025.</w:t>
      </w:r>
    </w:p>
    <w:p w14:paraId="018307C1" w14:textId="77777777" w:rsidR="00B963C4" w:rsidRDefault="00A62D85">
      <w:pPr>
        <w:spacing w:after="280" w:line="320" w:lineRule="auto"/>
        <w:jc w:val="both"/>
      </w:pPr>
      <w:r>
        <w:t>De nuestra mayor consideración:</w:t>
      </w:r>
    </w:p>
    <w:p w14:paraId="1ACD34DB" w14:textId="77777777" w:rsidR="00B963C4" w:rsidRDefault="00A62D85">
      <w:pPr>
        <w:spacing w:after="200" w:line="320" w:lineRule="auto"/>
        <w:ind w:firstLine="567"/>
        <w:jc w:val="both"/>
      </w:pPr>
      <w:r>
        <w:t xml:space="preserve">Tengo el agrado de dirigirme a las </w:t>
      </w:r>
      <w:proofErr w:type="spellStart"/>
      <w:r>
        <w:t>Lonkos</w:t>
      </w:r>
      <w:proofErr w:type="spellEnd"/>
      <w:r>
        <w:t xml:space="preserve"> de las Comunidades Mapuche Lof Vera y Lof Curruhuinca, en respuesta institucional a la nota presentada con fecha 27 de abril de 2026 ante este Concejo Deliberante (Orden 555 - 146 - Entrada), por la cual las Comunidades formulan modificaciones y aportes al borrador de Resolución Conjunta del proyecto “Mejoramiento Playa de Estacionamiento Cerro </w:t>
      </w:r>
      <w:proofErr w:type="spellStart"/>
      <w:r>
        <w:t>Chapelco</w:t>
      </w:r>
      <w:proofErr w:type="spellEnd"/>
      <w:r>
        <w:t>”.</w:t>
      </w:r>
    </w:p>
    <w:p w14:paraId="4D7182CF" w14:textId="77777777" w:rsidR="00B963C4" w:rsidRDefault="00A62D85">
      <w:pPr>
        <w:spacing w:after="200" w:line="320" w:lineRule="auto"/>
        <w:ind w:firstLine="567"/>
        <w:jc w:val="both"/>
      </w:pPr>
      <w:r>
        <w:t>Conforme al análisis técnico-jurídico realizado por este Cuerpo, y reafirmando el reconocimiento del marco constitucional, convencional y legal que ampara los derechos colectivos de las Comunidades Mapuche, se formulan a continuación las consideraciones correspondientes a cada uno de los veinte (20) puntos identificados en la presentación, distinguiendo aquellos que se incorporan al texto definitivo de la Resolución Conjunta de aquellos que no se incorporan, con expresión de los fundamentos respectivos.</w:t>
      </w:r>
    </w:p>
    <w:p w14:paraId="16B42EF5" w14:textId="77777777" w:rsidR="00B963C4" w:rsidRDefault="00A62D85">
      <w:pPr>
        <w:spacing w:after="360" w:line="320" w:lineRule="auto"/>
        <w:ind w:firstLine="567"/>
        <w:jc w:val="both"/>
      </w:pPr>
      <w:r>
        <w:t xml:space="preserve">Cabe destacar que el procedimiento administrativo del expediente bajo análisis contó con participación intercultural efectiva en sus etapas relevantes, a través de la UTGA ampliada con integrantes de las Comunidades Vera y Curruhuinca; que las observaciones formuladas respecto del Protocolo de Consulta Previa, Libre e Informada se encuentran subsanadas conforme al procedimiento previsto en el artículo 26 de la Ordenanza </w:t>
      </w:r>
      <w:proofErr w:type="spellStart"/>
      <w:r>
        <w:t>N°</w:t>
      </w:r>
      <w:proofErr w:type="spellEnd"/>
      <w:r>
        <w:t xml:space="preserve"> 14.490/23; y que la Resolución Conjunta recoge en su redacción definitiva varios de los aportes sustantivos formulados por las Comunidades, conforme se detalla en cada punto.</w:t>
      </w:r>
    </w:p>
    <w:p w14:paraId="197A3084" w14:textId="77777777" w:rsidR="00B963C4" w:rsidRDefault="00A62D85">
      <w:pPr>
        <w:pBdr>
          <w:bottom w:val="single" w:sz="6" w:space="4" w:color="1F3864"/>
        </w:pBdr>
        <w:spacing w:before="360" w:after="200" w:line="320" w:lineRule="auto"/>
      </w:pPr>
      <w:r>
        <w:rPr>
          <w:b/>
          <w:bCs/>
          <w:color w:val="1F3864"/>
          <w:sz w:val="24"/>
          <w:szCs w:val="24"/>
        </w:rPr>
        <w:t>I. Sobre los considerandos propuestos</w:t>
      </w:r>
    </w:p>
    <w:p w14:paraId="7FA404AD" w14:textId="77777777" w:rsidR="00B963C4" w:rsidRDefault="00A62D85">
      <w:pPr>
        <w:spacing w:before="280" w:after="140" w:line="320" w:lineRule="auto"/>
      </w:pPr>
      <w:r>
        <w:rPr>
          <w:b/>
          <w:bCs/>
        </w:rPr>
        <w:lastRenderedPageBreak/>
        <w:t>Punto 1. Considerando sobre no renuncia de derechos en mesas técnicas</w:t>
      </w:r>
    </w:p>
    <w:p w14:paraId="5254610D" w14:textId="77777777" w:rsidR="00B963C4" w:rsidRDefault="00A62D85">
      <w:pPr>
        <w:spacing w:after="160" w:line="300" w:lineRule="auto"/>
        <w:ind w:left="567" w:right="283"/>
        <w:jc w:val="both"/>
      </w:pPr>
      <w:r>
        <w:rPr>
          <w:b/>
          <w:bCs/>
          <w:i/>
          <w:iCs/>
          <w:sz w:val="20"/>
          <w:szCs w:val="20"/>
        </w:rPr>
        <w:t xml:space="preserve">Texto propuesto: </w:t>
      </w:r>
      <w:r>
        <w:rPr>
          <w:i/>
          <w:iCs/>
          <w:sz w:val="20"/>
          <w:szCs w:val="20"/>
        </w:rPr>
        <w:t>“Que la participación de las Comunidades Mapuche en mesas técnicas, instancias de diálogo o monitoreo no implica renuncia de derechos territoriales, culturales ni ambientales, ni podrá interpretarse como consentimiento automático respecto de obras presentes o futuras.”</w:t>
      </w:r>
    </w:p>
    <w:p w14:paraId="0A1C0179" w14:textId="77777777" w:rsidR="00B963C4" w:rsidRDefault="00A62D85">
      <w:pPr>
        <w:spacing w:after="140" w:line="320" w:lineRule="auto"/>
        <w:ind w:firstLine="567"/>
        <w:jc w:val="both"/>
      </w:pPr>
      <w:r>
        <w:t xml:space="preserve">El Concejo Deliberante no incorpora este considerando al texto de la Resolución Conjunta. La participación de las Comunidades en las instancias técnicas convocadas por el Municipio se rige por el marco legal vigente —en particular, la Ordenanza </w:t>
      </w:r>
      <w:proofErr w:type="spellStart"/>
      <w:r>
        <w:t>N°</w:t>
      </w:r>
      <w:proofErr w:type="spellEnd"/>
      <w:r>
        <w:t xml:space="preserve"> 1584/94 y su decreto reglamentario, la Ordenanza de Consulta Previa </w:t>
      </w:r>
      <w:proofErr w:type="spellStart"/>
      <w:r>
        <w:t>N°</w:t>
      </w:r>
      <w:proofErr w:type="spellEnd"/>
      <w:r>
        <w:t xml:space="preserve"> 14.490/23 y la Resolución Normativa Intercultural </w:t>
      </w:r>
      <w:proofErr w:type="spellStart"/>
      <w:r>
        <w:t>N°</w:t>
      </w:r>
      <w:proofErr w:type="spellEnd"/>
      <w:r>
        <w:t xml:space="preserve"> 01/2023—, normativa que regula por sí el alcance jurídico de cada instancia participativa, sin necesidad de declaración expresa en este acto.</w:t>
      </w:r>
    </w:p>
    <w:p w14:paraId="6F7138F3" w14:textId="77777777" w:rsidR="00B963C4" w:rsidRDefault="00A62D85">
      <w:pPr>
        <w:spacing w:after="200" w:line="320" w:lineRule="auto"/>
        <w:ind w:firstLine="567"/>
        <w:jc w:val="both"/>
      </w:pPr>
      <w:r>
        <w:t>La preservación de los derechos territoriales, culturales y ambientales de las Comunidades Mapuche se encuentra resguardada por el bloque de constitucionalidad —artículos 41 y 75 inciso 17 de la Constitución Nacional, Convenio 169 de la OIT, Constitución de la Provincia del Neuquén y Carta Orgánica Municipal—, ya invocado en los considerandos del proyecto.</w:t>
      </w:r>
    </w:p>
    <w:p w14:paraId="65A2B2BE" w14:textId="77777777" w:rsidR="00B963C4" w:rsidRDefault="00A62D85">
      <w:pPr>
        <w:spacing w:before="280" w:after="140" w:line="320" w:lineRule="auto"/>
      </w:pPr>
      <w:r>
        <w:rPr>
          <w:b/>
          <w:bCs/>
        </w:rPr>
        <w:t>Punto 2. Considerando sobre el Convenio de Concesión y la Mesa de Monitoreo Ambiental vinculante</w:t>
      </w:r>
    </w:p>
    <w:p w14:paraId="2DB01597" w14:textId="77777777" w:rsidR="00B963C4" w:rsidRDefault="00A62D85">
      <w:pPr>
        <w:spacing w:after="160" w:line="300" w:lineRule="auto"/>
        <w:ind w:left="567" w:right="283"/>
        <w:jc w:val="both"/>
      </w:pPr>
      <w:r>
        <w:rPr>
          <w:b/>
          <w:bCs/>
          <w:i/>
          <w:iCs/>
          <w:sz w:val="20"/>
          <w:szCs w:val="20"/>
        </w:rPr>
        <w:t xml:space="preserve">Texto propuesto: </w:t>
      </w:r>
      <w:r>
        <w:rPr>
          <w:i/>
          <w:iCs/>
          <w:sz w:val="20"/>
          <w:szCs w:val="20"/>
        </w:rPr>
        <w:t xml:space="preserve">“Que en el marco del Convenio de Concesión suscripto entre la Provincia del Neuquén y la Comunidad Mapuche Curruhuinca respecto del desarrollo y funcionamiento del Cerro </w:t>
      </w:r>
      <w:proofErr w:type="spellStart"/>
      <w:r>
        <w:rPr>
          <w:i/>
          <w:iCs/>
          <w:sz w:val="20"/>
          <w:szCs w:val="20"/>
        </w:rPr>
        <w:t>Chapelco</w:t>
      </w:r>
      <w:proofErr w:type="spellEnd"/>
      <w:r>
        <w:rPr>
          <w:i/>
          <w:iCs/>
          <w:sz w:val="20"/>
          <w:szCs w:val="20"/>
        </w:rPr>
        <w:t>, así como de los compromisos institucionales asumidos entre las partes, corresponde la conformación y funcionamiento de una Mesa de Monitoreo Ambiental de carácter vinculante, con participación de los organismos competentes, la concesionaria y las Comunidades intervinientes, con facultades de seguimiento, acceso irrestricto a la información, inspección, requerimiento de medidas correctivas, emisión de dictámenes obligatorios y activación inmediata de acciones preventivas ante riesgos o afectaciones ambientales.”</w:t>
      </w:r>
    </w:p>
    <w:p w14:paraId="57391147" w14:textId="32F7828A" w:rsidR="00B963C4" w:rsidRDefault="00A62D85">
      <w:pPr>
        <w:spacing w:after="140" w:line="320" w:lineRule="auto"/>
        <w:ind w:firstLine="567"/>
        <w:jc w:val="both"/>
      </w:pPr>
      <w:r>
        <w:t>El Concejo Deliberante no incorpora este considerando por superposición jurisdiccional. La Mesa de Monitoreo Ambiental es la herramienta creada por el Contrato de Concesión suscripto entre la Provincia del Neuquén y la</w:t>
      </w:r>
      <w:r w:rsidR="005E2ACB">
        <w:t>s</w:t>
      </w:r>
      <w:r>
        <w:t xml:space="preserve"> Comunidad</w:t>
      </w:r>
      <w:r w:rsidR="005E2ACB">
        <w:t>es</w:t>
      </w:r>
      <w:r>
        <w:t>, en el ámbito provincial. La autoridad provincial tiene poder de policía sobre el agua y sobre el Cerro; la autoridad municipal lo tiene sobre la Resolución Conjunta. Se trata de dos jurisdicciones y dos poderes distintos que no corresponde confundir en un mismo instrumento normativo.</w:t>
      </w:r>
    </w:p>
    <w:p w14:paraId="4358BF50" w14:textId="77777777" w:rsidR="00B963C4" w:rsidRDefault="00A62D85">
      <w:pPr>
        <w:spacing w:after="200" w:line="320" w:lineRule="auto"/>
        <w:ind w:firstLine="567"/>
        <w:jc w:val="both"/>
      </w:pPr>
      <w:r>
        <w:t xml:space="preserve">Incorporar este considerando supondría crear, por vía de Resolución Conjunta municipal, un órgano de control con facultades de policía que asumiría competencias atribuidas por ley a la Provincia y al Municipio según el caso, configurando un exceso </w:t>
      </w:r>
      <w:r>
        <w:lastRenderedPageBreak/>
        <w:t xml:space="preserve">normativo. El Municipio cuenta con su propia herramienta de control: la UTGA ampliada con participación de las Comunidades Vera y Curruhuinca, prevista en el artículo 4° de la Resolución del DEM </w:t>
      </w:r>
      <w:proofErr w:type="spellStart"/>
      <w:r>
        <w:t>N°</w:t>
      </w:r>
      <w:proofErr w:type="spellEnd"/>
      <w:r>
        <w:t xml:space="preserve"> 1693/96, reglamentaria de la Ordenanza </w:t>
      </w:r>
      <w:proofErr w:type="spellStart"/>
      <w:r>
        <w:t>N°</w:t>
      </w:r>
      <w:proofErr w:type="spellEnd"/>
      <w:r>
        <w:t xml:space="preserve"> 1584/94, cuya continuidad se dispone expresamente en el articulado de la Resolución Conjunta.</w:t>
      </w:r>
    </w:p>
    <w:p w14:paraId="3EB036D4" w14:textId="77777777" w:rsidR="00B963C4" w:rsidRDefault="00A62D85">
      <w:pPr>
        <w:pBdr>
          <w:bottom w:val="single" w:sz="6" w:space="4" w:color="1F3864"/>
        </w:pBdr>
        <w:spacing w:before="360" w:after="200" w:line="320" w:lineRule="auto"/>
      </w:pPr>
      <w:r>
        <w:rPr>
          <w:b/>
          <w:bCs/>
          <w:color w:val="1F3864"/>
          <w:sz w:val="24"/>
          <w:szCs w:val="24"/>
        </w:rPr>
        <w:t>II. Sobre la sección de Observación sobre incumplimiento del Protocolo Intercultural</w:t>
      </w:r>
    </w:p>
    <w:p w14:paraId="093449E5" w14:textId="77777777" w:rsidR="00B963C4" w:rsidRDefault="00A62D85">
      <w:pPr>
        <w:spacing w:after="280" w:line="320" w:lineRule="auto"/>
        <w:ind w:firstLine="567"/>
        <w:jc w:val="both"/>
      </w:pPr>
      <w:r>
        <w:t>La sección de Observación sobre incumplimiento del Protocolo Intercultural propuesta por las Comunidades —que comprende los Puntos 3 a 7— no se incorpora al texto de la Resolución Conjunta, por las razones que se desarrollan a continuación, comunes a la totalidad de los considerandos que la integran y que se aplican individualmente a cada uno.</w:t>
      </w:r>
    </w:p>
    <w:p w14:paraId="360398BB" w14:textId="77777777" w:rsidR="00B963C4" w:rsidRDefault="00A62D85">
      <w:pPr>
        <w:spacing w:before="280" w:after="140" w:line="320" w:lineRule="auto"/>
      </w:pPr>
      <w:r>
        <w:rPr>
          <w:b/>
          <w:bCs/>
        </w:rPr>
        <w:t>Punto 3. Considerando sobre la vigencia del Protocolo de Consulta Previa, Libre e Informada</w:t>
      </w:r>
    </w:p>
    <w:p w14:paraId="4306FCCC" w14:textId="77777777" w:rsidR="00B963C4" w:rsidRDefault="00A62D85">
      <w:pPr>
        <w:spacing w:after="160" w:line="300" w:lineRule="auto"/>
        <w:ind w:left="567" w:right="283"/>
        <w:jc w:val="both"/>
      </w:pPr>
      <w:r>
        <w:rPr>
          <w:b/>
          <w:bCs/>
          <w:i/>
          <w:iCs/>
          <w:sz w:val="20"/>
          <w:szCs w:val="20"/>
        </w:rPr>
        <w:t xml:space="preserve">Texto propuesto: </w:t>
      </w:r>
      <w:r>
        <w:rPr>
          <w:i/>
          <w:iCs/>
          <w:sz w:val="20"/>
          <w:szCs w:val="20"/>
        </w:rPr>
        <w:t xml:space="preserve">“Que conforme a la Ordenanza </w:t>
      </w:r>
      <w:proofErr w:type="spellStart"/>
      <w:r>
        <w:rPr>
          <w:i/>
          <w:iCs/>
          <w:sz w:val="20"/>
          <w:szCs w:val="20"/>
        </w:rPr>
        <w:t>Nº</w:t>
      </w:r>
      <w:proofErr w:type="spellEnd"/>
      <w:r>
        <w:rPr>
          <w:i/>
          <w:iCs/>
          <w:sz w:val="20"/>
          <w:szCs w:val="20"/>
        </w:rPr>
        <w:t xml:space="preserve"> 14.490/23 y la Resolución Normativa Intercultural </w:t>
      </w:r>
      <w:proofErr w:type="spellStart"/>
      <w:r>
        <w:rPr>
          <w:i/>
          <w:iCs/>
          <w:sz w:val="20"/>
          <w:szCs w:val="20"/>
        </w:rPr>
        <w:t>Nº</w:t>
      </w:r>
      <w:proofErr w:type="spellEnd"/>
      <w:r>
        <w:rPr>
          <w:i/>
          <w:iCs/>
          <w:sz w:val="20"/>
          <w:szCs w:val="20"/>
        </w:rPr>
        <w:t xml:space="preserve"> 01/2023, se encuentra vigente el Protocolo de Consulta Previa, Libre e Informada para las Comunidades Mapuche en jurisdicción municipal.”</w:t>
      </w:r>
    </w:p>
    <w:p w14:paraId="7E1D0728" w14:textId="77777777" w:rsidR="00B963C4" w:rsidRDefault="00A62D85">
      <w:pPr>
        <w:spacing w:after="140" w:line="320" w:lineRule="auto"/>
        <w:ind w:firstLine="567"/>
        <w:jc w:val="both"/>
      </w:pPr>
      <w:r>
        <w:t>La vigencia del Protocolo de Consulta Previa, Libre e Informada no está en discusión. No corresponde, sin embargo, su incorporación como considerando autónomo de la Resolución Conjunta, en tanto la sección de Observación sobre incumplimiento del Protocolo Intercultural —que abarca los Puntos 3 a 7 de la presente— se aborda en bloque, conforme se desarrolla a continuación.</w:t>
      </w:r>
    </w:p>
    <w:p w14:paraId="3AA87CB2" w14:textId="77777777" w:rsidR="00B963C4" w:rsidRDefault="00A62D85">
      <w:pPr>
        <w:spacing w:after="140" w:line="320" w:lineRule="auto"/>
        <w:ind w:firstLine="567"/>
        <w:jc w:val="both"/>
      </w:pPr>
      <w:r>
        <w:t xml:space="preserve">El artículo 26 de la Ordenanza </w:t>
      </w:r>
      <w:proofErr w:type="spellStart"/>
      <w:r>
        <w:t>N°</w:t>
      </w:r>
      <w:proofErr w:type="spellEnd"/>
      <w:r>
        <w:t xml:space="preserve"> 14.490/23 (Subsanación de la omisión estatal de consulta) prevé expresamente que, cuando el proceso de consulta deba realizarse para subsanar actividades, proyectos o acciones que hayan afectado territorio, intereses o recursos mapuches, la Municipalidad deberá considerar las dificultades expuestas por las Comunidades, consensuando soluciones, incluso mediante remediaciones o compensaciones cuando corresponda. El artículo 27 establece el procedimiento: convocatoria a las autoridades territoriales para relevar las dificultades. Ese procedimiento se ejecutó en las reuniones mantenidas con las Comunidades en los días previos al dictado de la presente.</w:t>
      </w:r>
    </w:p>
    <w:p w14:paraId="6CC4998B" w14:textId="77777777" w:rsidR="00B963C4" w:rsidRDefault="00A62D85">
      <w:pPr>
        <w:spacing w:after="200" w:line="320" w:lineRule="auto"/>
        <w:ind w:firstLine="567"/>
        <w:jc w:val="both"/>
      </w:pPr>
      <w:r>
        <w:t xml:space="preserve">Adicionalmente, la consulta previa respecto del Cerro </w:t>
      </w:r>
      <w:proofErr w:type="spellStart"/>
      <w:r>
        <w:t>Chapelco</w:t>
      </w:r>
      <w:proofErr w:type="spellEnd"/>
      <w:r>
        <w:t xml:space="preserve"> fue realizada por la Provincia del Neuquén al momento del otorgamiento del pliego de concesión. La presente actuación administrativa, referida a la evaluación de impacto ambiental de una obra puntual dentro del área concesionada, se desarrolla en el marco de la herramienta </w:t>
      </w:r>
      <w:r>
        <w:lastRenderedPageBreak/>
        <w:t xml:space="preserve">municipal específica para esa finalidad, prevista en las Ordenanzas </w:t>
      </w:r>
      <w:proofErr w:type="spellStart"/>
      <w:r>
        <w:t>N°</w:t>
      </w:r>
      <w:proofErr w:type="spellEnd"/>
      <w:r>
        <w:t xml:space="preserve"> 1584/94 y 2.007/96 (modificatoria 2.601/97).</w:t>
      </w:r>
    </w:p>
    <w:p w14:paraId="4D436461" w14:textId="77777777" w:rsidR="00B963C4" w:rsidRDefault="00A62D85">
      <w:pPr>
        <w:spacing w:before="280" w:after="140" w:line="320" w:lineRule="auto"/>
      </w:pPr>
      <w:r>
        <w:rPr>
          <w:b/>
          <w:bCs/>
        </w:rPr>
        <w:t>Punto 4. Considerando sobre la obligación municipal de convocar la Consulta Previa</w:t>
      </w:r>
    </w:p>
    <w:p w14:paraId="2D6EB2E2" w14:textId="77777777" w:rsidR="00B963C4" w:rsidRDefault="00A62D85">
      <w:pPr>
        <w:spacing w:after="160" w:line="300" w:lineRule="auto"/>
        <w:ind w:left="567" w:right="283"/>
        <w:jc w:val="both"/>
      </w:pPr>
      <w:r>
        <w:rPr>
          <w:b/>
          <w:bCs/>
          <w:i/>
          <w:iCs/>
          <w:sz w:val="20"/>
          <w:szCs w:val="20"/>
        </w:rPr>
        <w:t xml:space="preserve">Texto propuesto: </w:t>
      </w:r>
      <w:r>
        <w:rPr>
          <w:i/>
          <w:iCs/>
          <w:sz w:val="20"/>
          <w:szCs w:val="20"/>
        </w:rPr>
        <w:t>“Que dicha normativa establece que es obligación del Estado municipal identificar posibles afectaciones y convocar, abrir e impulsar formalmente el procedimiento de Consulta Previa, Libre e Informada cuando un proyecto pueda impactar intereses, territorios o recursos comunitarios.”</w:t>
      </w:r>
    </w:p>
    <w:p w14:paraId="0AD1532F" w14:textId="77777777" w:rsidR="00B963C4" w:rsidRDefault="00A62D85">
      <w:pPr>
        <w:spacing w:after="140" w:line="320" w:lineRule="auto"/>
        <w:ind w:firstLine="567"/>
        <w:jc w:val="both"/>
      </w:pPr>
      <w:r>
        <w:t>La obligación municipal de identificación, convocatoria e impulso del procedimiento se cumplió en el marco del trámite del expediente. Conforme las constancias obrantes:</w:t>
      </w:r>
    </w:p>
    <w:p w14:paraId="1B70E5B4" w14:textId="77777777" w:rsidR="00B963C4" w:rsidRDefault="00A62D85">
      <w:pPr>
        <w:spacing w:after="140" w:line="320" w:lineRule="auto"/>
        <w:ind w:firstLine="567"/>
        <w:jc w:val="both"/>
      </w:pPr>
      <w:r>
        <w:t>— a fojas 559 a 563 constan las actas de reuniones mantenidas entre la Provincia, el Municipio y las Comunidades Vera y Curruhuinca;</w:t>
      </w:r>
    </w:p>
    <w:p w14:paraId="5528E3A3" w14:textId="77777777" w:rsidR="00B963C4" w:rsidRDefault="00A62D85">
      <w:pPr>
        <w:spacing w:after="140" w:line="320" w:lineRule="auto"/>
        <w:ind w:firstLine="567"/>
        <w:jc w:val="both"/>
      </w:pPr>
      <w:r>
        <w:t>— a fojas 735 consta la Calificación de Alto Impacto del Proyecto firmada por la UTGA ampliada con integrantes de las Comunidades Vera y Curruhuinca;</w:t>
      </w:r>
    </w:p>
    <w:p w14:paraId="1CB1B55D" w14:textId="77777777" w:rsidR="00B963C4" w:rsidRDefault="00A62D85">
      <w:pPr>
        <w:spacing w:after="140" w:line="320" w:lineRule="auto"/>
        <w:ind w:firstLine="567"/>
        <w:jc w:val="both"/>
      </w:pPr>
      <w:r>
        <w:t>— a fojas 736 a 739 constan los Términos de Referencia (TDR) elaborados en forma conjunta con las Comunidades para la confección del INFA;</w:t>
      </w:r>
    </w:p>
    <w:p w14:paraId="68877FC2" w14:textId="77777777" w:rsidR="00B963C4" w:rsidRDefault="00A62D85">
      <w:pPr>
        <w:spacing w:after="140" w:line="320" w:lineRule="auto"/>
        <w:ind w:firstLine="567"/>
        <w:jc w:val="both"/>
      </w:pPr>
      <w:r>
        <w:t xml:space="preserve">— a fojas 897 consta la Notificación </w:t>
      </w:r>
      <w:proofErr w:type="spellStart"/>
      <w:r>
        <w:t>N°</w:t>
      </w:r>
      <w:proofErr w:type="spellEnd"/>
      <w:r>
        <w:t xml:space="preserve"> 8/26 emitida por la UTGA ampliada con integrantes de las Comunidades, referida a las ampliaciones solicitadas al INFA;</w:t>
      </w:r>
    </w:p>
    <w:p w14:paraId="313D208D" w14:textId="77777777" w:rsidR="00B963C4" w:rsidRDefault="00A62D85">
      <w:pPr>
        <w:spacing w:after="140" w:line="320" w:lineRule="auto"/>
        <w:ind w:firstLine="567"/>
        <w:jc w:val="both"/>
      </w:pPr>
      <w:r>
        <w:t>— a fojas 1074 consta el Acta de la Mesa Técnica de la UTGA Ampliada en la que se evaluó la Ampliación del INFA;</w:t>
      </w:r>
    </w:p>
    <w:p w14:paraId="11168A5B" w14:textId="77777777" w:rsidR="00B963C4" w:rsidRDefault="00A62D85">
      <w:pPr>
        <w:spacing w:after="140" w:line="320" w:lineRule="auto"/>
        <w:ind w:firstLine="567"/>
        <w:jc w:val="both"/>
      </w:pPr>
      <w:r>
        <w:t>— a fojas 1078 la UTGA Ampliada con las Comunidades Mapuche recomienda que el proyecto sea declarado ambientalmente factible.</w:t>
      </w:r>
    </w:p>
    <w:p w14:paraId="28C68353" w14:textId="77777777" w:rsidR="00B963C4" w:rsidRDefault="00A62D85">
      <w:pPr>
        <w:spacing w:after="200" w:line="320" w:lineRule="auto"/>
        <w:ind w:firstLine="567"/>
        <w:jc w:val="both"/>
      </w:pPr>
      <w:r>
        <w:t>El trámite contó así con participación intercultural efectiva en cada etapa relevante. Por las razones expuestas, el considerando no se incorpora.</w:t>
      </w:r>
    </w:p>
    <w:p w14:paraId="62A8DED1" w14:textId="77777777" w:rsidR="00B963C4" w:rsidRDefault="00A62D85">
      <w:pPr>
        <w:spacing w:before="280" w:after="140" w:line="320" w:lineRule="auto"/>
      </w:pPr>
      <w:r>
        <w:rPr>
          <w:b/>
          <w:bCs/>
        </w:rPr>
        <w:t>Punto 5. Considerando sobre la falta de apertura formal del proceso de Consulta Previa</w:t>
      </w:r>
    </w:p>
    <w:p w14:paraId="0378E5B3" w14:textId="77777777" w:rsidR="00B963C4" w:rsidRDefault="00A62D85">
      <w:pPr>
        <w:spacing w:after="160" w:line="300" w:lineRule="auto"/>
        <w:ind w:left="567" w:right="283"/>
        <w:jc w:val="both"/>
      </w:pPr>
      <w:r>
        <w:rPr>
          <w:b/>
          <w:bCs/>
          <w:i/>
          <w:iCs/>
          <w:sz w:val="20"/>
          <w:szCs w:val="20"/>
        </w:rPr>
        <w:t xml:space="preserve">Texto propuesto: </w:t>
      </w:r>
      <w:r>
        <w:rPr>
          <w:i/>
          <w:iCs/>
          <w:sz w:val="20"/>
          <w:szCs w:val="20"/>
        </w:rPr>
        <w:t xml:space="preserve">“Que en el trámite del proyecto “Mejoramiento Playa de Estacionamiento Cerro </w:t>
      </w:r>
      <w:proofErr w:type="spellStart"/>
      <w:r>
        <w:rPr>
          <w:i/>
          <w:iCs/>
          <w:sz w:val="20"/>
          <w:szCs w:val="20"/>
        </w:rPr>
        <w:t>Chapelco</w:t>
      </w:r>
      <w:proofErr w:type="spellEnd"/>
      <w:r>
        <w:rPr>
          <w:i/>
          <w:iCs/>
          <w:sz w:val="20"/>
          <w:szCs w:val="20"/>
        </w:rPr>
        <w:t>” y en la posterior Resolución Conjunta, no consta que el Estado haya convocado ni dado apertura formal al proceso de Consulta Previa, Libre e Informada, ni cumplido las etapas previstas por la normativa vigente.”</w:t>
      </w:r>
    </w:p>
    <w:p w14:paraId="5010BB79" w14:textId="77777777" w:rsidR="00B963C4" w:rsidRDefault="00A62D85">
      <w:pPr>
        <w:spacing w:after="140" w:line="320" w:lineRule="auto"/>
        <w:ind w:firstLine="567"/>
        <w:jc w:val="both"/>
      </w:pPr>
      <w:r>
        <w:t>La afirmación no encuentra correlato en las constancias del expediente, conforme se detalla en la respuesta al Punto 4, a la que se remite.</w:t>
      </w:r>
    </w:p>
    <w:p w14:paraId="2CF4FAAF" w14:textId="77777777" w:rsidR="00B963C4" w:rsidRDefault="00A62D85">
      <w:pPr>
        <w:spacing w:after="200" w:line="320" w:lineRule="auto"/>
        <w:ind w:firstLine="567"/>
        <w:jc w:val="both"/>
      </w:pPr>
      <w:r>
        <w:lastRenderedPageBreak/>
        <w:t xml:space="preserve">Las eventuales observaciones formales sobre el procedimiento se encuentran subsanadas conforme al artículo 26 de la Ordenanza </w:t>
      </w:r>
      <w:proofErr w:type="spellStart"/>
      <w:r>
        <w:t>N°</w:t>
      </w:r>
      <w:proofErr w:type="spellEnd"/>
      <w:r>
        <w:t xml:space="preserve"> 14.490/23, mediante las reuniones mantenidas con las Comunidades en los días previos al dictado de la presente, en cuyo marco se relevaron y consensuaron las modificaciones que la propia Resolución Conjunta incorpora. Por las razones expuestas, el considerando no se incorpora.</w:t>
      </w:r>
    </w:p>
    <w:p w14:paraId="4D41CA5D" w14:textId="77777777" w:rsidR="00B963C4" w:rsidRDefault="00A62D85">
      <w:pPr>
        <w:spacing w:before="280" w:after="140" w:line="320" w:lineRule="auto"/>
      </w:pPr>
      <w:r>
        <w:rPr>
          <w:b/>
          <w:bCs/>
        </w:rPr>
        <w:t>Punto 6. Considerando sobre el carácter de las reuniones técnicas</w:t>
      </w:r>
    </w:p>
    <w:p w14:paraId="6FFD33DD" w14:textId="77777777" w:rsidR="00B963C4" w:rsidRDefault="00A62D85">
      <w:pPr>
        <w:spacing w:after="160" w:line="300" w:lineRule="auto"/>
        <w:ind w:left="567" w:right="283"/>
        <w:jc w:val="both"/>
      </w:pPr>
      <w:r>
        <w:rPr>
          <w:b/>
          <w:bCs/>
          <w:i/>
          <w:iCs/>
          <w:sz w:val="20"/>
          <w:szCs w:val="20"/>
        </w:rPr>
        <w:t xml:space="preserve">Texto propuesto: </w:t>
      </w:r>
      <w:r>
        <w:rPr>
          <w:i/>
          <w:iCs/>
          <w:sz w:val="20"/>
          <w:szCs w:val="20"/>
        </w:rPr>
        <w:t>“Que la participación en reuniones técnicas no reemplaza el procedimiento legal exigido, ni implica consentimiento comunitario.”</w:t>
      </w:r>
    </w:p>
    <w:p w14:paraId="5FBB9C92" w14:textId="77777777" w:rsidR="00B963C4" w:rsidRDefault="00A62D85">
      <w:pPr>
        <w:spacing w:after="200" w:line="320" w:lineRule="auto"/>
        <w:ind w:firstLine="567"/>
        <w:jc w:val="both"/>
      </w:pPr>
      <w:r>
        <w:t xml:space="preserve">La presente Resolución Conjunta no se funda en un supuesto consentimiento derivado de la participación en reuniones técnicas, sino en el cumplimiento del procedimiento de evaluación de impacto ambiental previsto por las Ordenanzas </w:t>
      </w:r>
      <w:proofErr w:type="spellStart"/>
      <w:r>
        <w:t>N°</w:t>
      </w:r>
      <w:proofErr w:type="spellEnd"/>
      <w:r>
        <w:t xml:space="preserve"> 1584/94 y 2.007/96 (modificatoria 2.601/97), con la participación intercultural prevista por la Ordenanza </w:t>
      </w:r>
      <w:proofErr w:type="spellStart"/>
      <w:r>
        <w:t>N°</w:t>
      </w:r>
      <w:proofErr w:type="spellEnd"/>
      <w:r>
        <w:t xml:space="preserve"> 14.490/23, cuyo procedimiento de subsanación previsto en el artículo 26 fue efectivamente cumplido. Por las razones expuestas, el considerando no se incorpora.</w:t>
      </w:r>
    </w:p>
    <w:p w14:paraId="3B726D79" w14:textId="77777777" w:rsidR="00B963C4" w:rsidRDefault="00A62D85">
      <w:pPr>
        <w:spacing w:before="280" w:after="140" w:line="320" w:lineRule="auto"/>
      </w:pPr>
      <w:r>
        <w:rPr>
          <w:b/>
          <w:bCs/>
        </w:rPr>
        <w:t>Punto 7. Considerando sobre la verificación de “omisión estatal sustancial”</w:t>
      </w:r>
    </w:p>
    <w:p w14:paraId="2FDE8C08" w14:textId="77777777" w:rsidR="00B963C4" w:rsidRDefault="00A62D85">
      <w:pPr>
        <w:spacing w:after="160" w:line="300" w:lineRule="auto"/>
        <w:ind w:left="567" w:right="283"/>
        <w:jc w:val="both"/>
      </w:pPr>
      <w:r>
        <w:rPr>
          <w:b/>
          <w:bCs/>
          <w:i/>
          <w:iCs/>
          <w:sz w:val="20"/>
          <w:szCs w:val="20"/>
        </w:rPr>
        <w:t xml:space="preserve">Texto propuesto: </w:t>
      </w:r>
      <w:r>
        <w:rPr>
          <w:i/>
          <w:iCs/>
          <w:sz w:val="20"/>
          <w:szCs w:val="20"/>
        </w:rPr>
        <w:t>“Que, en consecuencia, se verifica una omisión estatal sustancial, susceptible de afectar la validez del acto administrativo dictado, por incumplimiento de la normativa municipal vigente, del Convenio 169 de la OIT y del principio de interculturalidad.”</w:t>
      </w:r>
    </w:p>
    <w:p w14:paraId="07AED6EB" w14:textId="77777777" w:rsidR="00B963C4" w:rsidRDefault="00A62D85">
      <w:pPr>
        <w:spacing w:after="140" w:line="320" w:lineRule="auto"/>
        <w:ind w:firstLine="567"/>
        <w:jc w:val="both"/>
      </w:pPr>
      <w:r>
        <w:t xml:space="preserve">La conclusión presupone los considerandos cuya improcedencia se desarrolló en los Puntos 3 a 6, a los que se remite. El procedimiento administrativo cumplió con las etapas previstas por la normativa municipal vigente, contó con participación intercultural efectiva a través de la UTGA ampliada y, en cuanto a las observaciones formuladas, se aplicó el mecanismo de subsanación previsto por el artículo 26 de la Ordenanza </w:t>
      </w:r>
      <w:proofErr w:type="spellStart"/>
      <w:r>
        <w:t>N°</w:t>
      </w:r>
      <w:proofErr w:type="spellEnd"/>
      <w:r>
        <w:t xml:space="preserve"> 14.490/23.</w:t>
      </w:r>
    </w:p>
    <w:p w14:paraId="597797D6" w14:textId="77777777" w:rsidR="00B963C4" w:rsidRDefault="00A62D85">
      <w:pPr>
        <w:spacing w:after="200" w:line="320" w:lineRule="auto"/>
        <w:ind w:firstLine="567"/>
        <w:jc w:val="both"/>
      </w:pPr>
      <w:r>
        <w:t>La incorporación a la propia Resolución Conjunta de un considerando que declarara la invalidez del acto que se dicta resultaría jurídicamente improcedente y contraria a la presunción de legitimidad de los actos administrativos. Por las razones expuestas, el considerando no se incorpora.</w:t>
      </w:r>
    </w:p>
    <w:p w14:paraId="5C08DBDC" w14:textId="77777777" w:rsidR="00B963C4" w:rsidRDefault="00A62D85">
      <w:pPr>
        <w:pBdr>
          <w:bottom w:val="single" w:sz="6" w:space="4" w:color="1F3864"/>
        </w:pBdr>
        <w:spacing w:before="360" w:after="200" w:line="320" w:lineRule="auto"/>
      </w:pPr>
      <w:r>
        <w:rPr>
          <w:b/>
          <w:bCs/>
          <w:color w:val="1F3864"/>
          <w:sz w:val="24"/>
          <w:szCs w:val="24"/>
        </w:rPr>
        <w:t>III. Sobre el articulado resolutivo</w:t>
      </w:r>
    </w:p>
    <w:p w14:paraId="5AE76F12" w14:textId="77777777" w:rsidR="00B963C4" w:rsidRDefault="00A62D85">
      <w:pPr>
        <w:spacing w:before="280" w:after="140" w:line="320" w:lineRule="auto"/>
      </w:pPr>
      <w:r>
        <w:rPr>
          <w:b/>
          <w:bCs/>
        </w:rPr>
        <w:t>Punto 8. Artículo 2°. Factibilidad ambiental condicionada y controles interculturales</w:t>
      </w:r>
    </w:p>
    <w:p w14:paraId="7B9CF1CF" w14:textId="77777777" w:rsidR="00B963C4" w:rsidRDefault="00A62D85">
      <w:pPr>
        <w:spacing w:after="160" w:line="300" w:lineRule="auto"/>
        <w:ind w:left="567" w:right="283"/>
        <w:jc w:val="both"/>
      </w:pPr>
      <w:r>
        <w:rPr>
          <w:b/>
          <w:bCs/>
          <w:i/>
          <w:iCs/>
          <w:sz w:val="20"/>
          <w:szCs w:val="20"/>
        </w:rPr>
        <w:lastRenderedPageBreak/>
        <w:t xml:space="preserve">Texto propuesto: </w:t>
      </w:r>
      <w:r>
        <w:rPr>
          <w:i/>
          <w:iCs/>
          <w:sz w:val="20"/>
          <w:szCs w:val="20"/>
        </w:rPr>
        <w:t xml:space="preserve">“Artículo 2°.- DECLÁRASE la factibilidad ambiental condicionada del proyecto denominado “Mejoramiento Playa de Estacionamiento Cerro </w:t>
      </w:r>
      <w:proofErr w:type="spellStart"/>
      <w:r>
        <w:rPr>
          <w:i/>
          <w:iCs/>
          <w:sz w:val="20"/>
          <w:szCs w:val="20"/>
        </w:rPr>
        <w:t>Chapelco</w:t>
      </w:r>
      <w:proofErr w:type="spellEnd"/>
      <w:r>
        <w:rPr>
          <w:i/>
          <w:iCs/>
          <w:sz w:val="20"/>
          <w:szCs w:val="20"/>
        </w:rPr>
        <w:t>”, sujeta al estricto cumplimiento de la presente resolución, de la normativa vigente y de los controles interculturales establecidos.”</w:t>
      </w:r>
    </w:p>
    <w:p w14:paraId="4EF57E18" w14:textId="77777777" w:rsidR="00B963C4" w:rsidRDefault="00A62D85">
      <w:pPr>
        <w:spacing w:after="140" w:line="320" w:lineRule="auto"/>
        <w:ind w:firstLine="567"/>
        <w:jc w:val="both"/>
      </w:pPr>
      <w:r>
        <w:t>La propuesta se incorpora parcialmente. La fórmula técnica adecuada para este tipo de actos administrativos es APROBAR la documentación técnica obrante en el expediente, donde consta el Informe de Factibilidad Ambiental (INFA), condicionada al estricto cumplimiento de las medidas correctivas y de mitigación. Esta fórmula permite hacer cumplir la integralidad de la documentación técnica aprobada, incluyendo eventuales aspectos no detallados explícitamente en el articulado.</w:t>
      </w:r>
    </w:p>
    <w:p w14:paraId="3AF34E23" w14:textId="77777777" w:rsidR="00B963C4" w:rsidRDefault="00A62D85">
      <w:pPr>
        <w:spacing w:after="140" w:line="320" w:lineRule="auto"/>
        <w:ind w:firstLine="567"/>
        <w:jc w:val="both"/>
      </w:pPr>
      <w:r>
        <w:t>Se mantiene el carácter condicionado de la aprobación, conforme al criterio de las Comunidades, dado que el Municipio ya ha condicionado en otras ocasiones resoluciones conjuntas a determinadas exigencias.</w:t>
      </w:r>
    </w:p>
    <w:p w14:paraId="23097261" w14:textId="77777777" w:rsidR="00B963C4" w:rsidRDefault="00A62D85">
      <w:pPr>
        <w:spacing w:after="200" w:line="320" w:lineRule="auto"/>
        <w:ind w:firstLine="567"/>
        <w:jc w:val="both"/>
      </w:pPr>
      <w:r>
        <w:t>No se incorpora la frase “de los controles interculturales establecidos”, por su amplitud e indeterminación. La expresión, sin definición precisa, podría dar lugar a interpretaciones extensivas incompatibles con el régimen de competencias municipales y provinciales. La participación intercultural en el control queda garantizada por la actuación de la UTGA ampliada con las Comunidades, prevista expresamente en el articulado.</w:t>
      </w:r>
    </w:p>
    <w:p w14:paraId="3C75A8AA" w14:textId="77777777" w:rsidR="00B963C4" w:rsidRDefault="00A62D85">
      <w:pPr>
        <w:spacing w:before="280" w:after="140" w:line="320" w:lineRule="auto"/>
      </w:pPr>
      <w:r>
        <w:rPr>
          <w:b/>
          <w:bCs/>
        </w:rPr>
        <w:t>Punto 9. Artículo 3°. Fundamentación del rechazo del Informe Complementario Intercultural (ICI)</w:t>
      </w:r>
    </w:p>
    <w:p w14:paraId="08D448CB" w14:textId="77777777" w:rsidR="00B963C4" w:rsidRDefault="00A62D85">
      <w:pPr>
        <w:spacing w:after="160" w:line="300" w:lineRule="auto"/>
        <w:ind w:left="567" w:right="283"/>
        <w:jc w:val="both"/>
      </w:pPr>
      <w:r>
        <w:rPr>
          <w:b/>
          <w:bCs/>
          <w:i/>
          <w:iCs/>
          <w:sz w:val="20"/>
          <w:szCs w:val="20"/>
        </w:rPr>
        <w:t xml:space="preserve">Texto propuesto: </w:t>
      </w:r>
      <w:r>
        <w:rPr>
          <w:i/>
          <w:iCs/>
          <w:sz w:val="20"/>
          <w:szCs w:val="20"/>
        </w:rPr>
        <w:t>“Artículo 3°.- ESTABLÉCESE que el documento denominado Informe Complementario Intercultural (ICI), elaborado por la Dra. Paula Gabriela Núñez, en carácter de colaboradora de la consultora BEHA Ambiental S.R.L., se considera rechazado en todos sus términos, por carecer de rigurosidad científica, validez técnica e idoneidad intercultural suficiente para su consideración dentro del presente procedimiento administrativo. Ello en virtud de que, según surge de las observaciones formuladas, dicho documento no registra entrevistas directas, instancias de consulta, participación territorial ni trabajo de campo con las Comunidades Mapuche involucradas (</w:t>
      </w:r>
      <w:proofErr w:type="spellStart"/>
      <w:r>
        <w:rPr>
          <w:i/>
          <w:iCs/>
          <w:sz w:val="20"/>
          <w:szCs w:val="20"/>
        </w:rPr>
        <w:t>lofche</w:t>
      </w:r>
      <w:proofErr w:type="spellEnd"/>
      <w:r>
        <w:rPr>
          <w:i/>
          <w:iCs/>
          <w:sz w:val="20"/>
          <w:szCs w:val="20"/>
        </w:rPr>
        <w:t>), omitiendo toda interacción efectiva con sus autoridades, referentes y miembros. Asimismo, se advierte la utilización predominante de información secundaria y material extraído de fuentes digitales abiertas, incluyendo publicaciones en redes sociales y plataformas virtuales, sin contraste en territorio, sin consentimiento comunitario y sin aplicación de metodologías participativas acordes a los estándares exigibles en materia intercultural. En consecuencia, el referido informe no podrá ser considerado como antecedente válido para fundar decisiones públicas, evaluar impactos socioculturales ni sustituir los mecanismos de participación efectiva que correspondan conforme la normativa vigente.”</w:t>
      </w:r>
    </w:p>
    <w:p w14:paraId="52F94EB7" w14:textId="77777777" w:rsidR="00B963C4" w:rsidRDefault="00A62D85">
      <w:pPr>
        <w:spacing w:after="140" w:line="320" w:lineRule="auto"/>
        <w:ind w:firstLine="567"/>
        <w:jc w:val="both"/>
      </w:pPr>
      <w:r>
        <w:t xml:space="preserve">Se incorpora únicamente la parte resolutiva del rechazo del Informe Complementario Intercultural (ICI) elaborado por la Dra. Paula Gabriela Núñez, en </w:t>
      </w:r>
      <w:r>
        <w:lastRenderedPageBreak/>
        <w:t>carácter de colaboradora de la consultora BEHA Ambiental S.R.L. La parte resolutiva es suficiente como acto administrativo: el Municipio no acepta ese informe en el marco del presente procedimiento.</w:t>
      </w:r>
    </w:p>
    <w:p w14:paraId="414D9A72" w14:textId="77777777" w:rsidR="00B963C4" w:rsidRDefault="00A62D85">
      <w:pPr>
        <w:spacing w:after="200" w:line="320" w:lineRule="auto"/>
        <w:ind w:firstLine="567"/>
        <w:jc w:val="both"/>
      </w:pPr>
      <w:r>
        <w:t>No se incorporan los párrafos de fundamentación descalificatoria del documento y de su autora, por exceder lo necesario para fundar el rechazo y por incorporar valoraciones que no corresponde adoptar como acto del Municipio. La descalificación profesional o académica de personas o instituciones no es función de una Resolución Conjunta del Intendente Municipal y del Presidente del Concejo Deliberante.</w:t>
      </w:r>
    </w:p>
    <w:p w14:paraId="592AEAB1" w14:textId="77777777" w:rsidR="00B963C4" w:rsidRDefault="00A62D85">
      <w:pPr>
        <w:spacing w:before="280" w:after="140" w:line="320" w:lineRule="auto"/>
      </w:pPr>
      <w:r>
        <w:rPr>
          <w:b/>
          <w:bCs/>
        </w:rPr>
        <w:t>Punto 10. Artículo 4°. Talleres Interculturales y cronograma vinculante</w:t>
      </w:r>
    </w:p>
    <w:p w14:paraId="5E7A7BFD" w14:textId="77777777" w:rsidR="00B963C4" w:rsidRDefault="00A62D85">
      <w:pPr>
        <w:spacing w:after="160" w:line="300" w:lineRule="auto"/>
        <w:ind w:left="567" w:right="283"/>
        <w:jc w:val="both"/>
      </w:pPr>
      <w:r>
        <w:rPr>
          <w:b/>
          <w:bCs/>
          <w:i/>
          <w:iCs/>
          <w:sz w:val="20"/>
          <w:szCs w:val="20"/>
        </w:rPr>
        <w:t xml:space="preserve">Texto propuesto: </w:t>
      </w:r>
      <w:r>
        <w:rPr>
          <w:i/>
          <w:iCs/>
          <w:sz w:val="20"/>
          <w:szCs w:val="20"/>
        </w:rPr>
        <w:t xml:space="preserve">“Artículo 4°.- ESTABLÉCESE que, en virtud de lo dispuesto en el artículo precedente y de las afectaciones ya registradas en el Paraje </w:t>
      </w:r>
      <w:proofErr w:type="spellStart"/>
      <w:r>
        <w:rPr>
          <w:i/>
          <w:iCs/>
          <w:sz w:val="20"/>
          <w:szCs w:val="20"/>
        </w:rPr>
        <w:t>Payla</w:t>
      </w:r>
      <w:proofErr w:type="spellEnd"/>
      <w:r>
        <w:rPr>
          <w:i/>
          <w:iCs/>
          <w:sz w:val="20"/>
          <w:szCs w:val="20"/>
        </w:rPr>
        <w:t xml:space="preserve"> Menuko, las medidas de mitigación, compensación, recomposición y seguimiento previstas en el Plan de Gestión Ambiental deberán ejecutarse mediante un cronograma obligatorio, inmediato y verificable. A tales fines, CRÉANSE Talleres Interculturales de carácter vinculante, con participación directa de las Comunidades Mapuche intervinientes, la empresa concesionaria y los organismos técnicos competentes, destinados al tratamiento específico de las materias vinculadas al agua, suelo, flora, fauna, aire y demás componentes ambientales afectados por la obra. Los Talleres Interculturales tendrán facultades para definir prioridades, establecer medidas preventivas, correctivas y compensatorias, aprobar cronogramas de ejecución, requerir información técnica y disponer mecanismos de monitoreo y control. Las decisiones y acuerdos adoptados en dichos espacios tendrán carácter vinculante, obligatorio y de cumplimiento inmediato para la empresa concesionaria en todo lo relativo a prevención, mitigación, recomposición y resguardo ambiental. En especial, deberá priorizarse la protección del recurso hídrico, considerando que el movimiento de suelos y la generación de turbidez comprometen los procesos de potabilización del agua destinada a consumo humano. Ante cualquier afectación comprobada o riesgo cierto, corresponderá la suspensión inmediata de las tareas que la originen.”</w:t>
      </w:r>
    </w:p>
    <w:p w14:paraId="1BF38423" w14:textId="77777777" w:rsidR="00B963C4" w:rsidRDefault="00A62D85">
      <w:pPr>
        <w:spacing w:after="140" w:line="320" w:lineRule="auto"/>
        <w:ind w:firstLine="567"/>
        <w:jc w:val="both"/>
      </w:pPr>
      <w:r>
        <w:t>Se mantiene la redacción originalmente proyectada, que ya prevé que las medidas de mitigación y compensación del Plan de Gestión Ambiental se trabajen en Talleres Interculturales con las Comunidades, donde se definirán implementación, monitoreo y compensaciones de manera conjunta entre la empresa y las Comunidades, contemplando la cosmovisión mapuche.</w:t>
      </w:r>
    </w:p>
    <w:p w14:paraId="6820E36B" w14:textId="425774F2" w:rsidR="00B963C4" w:rsidRDefault="005E2ACB">
      <w:pPr>
        <w:spacing w:after="140" w:line="320" w:lineRule="auto"/>
        <w:ind w:firstLine="567"/>
        <w:jc w:val="both"/>
      </w:pPr>
      <w:r>
        <w:t>S</w:t>
      </w:r>
      <w:r w:rsidR="00A62D85">
        <w:t xml:space="preserve">e incorpora </w:t>
      </w:r>
      <w:r>
        <w:t xml:space="preserve">que </w:t>
      </w:r>
      <w:r w:rsidR="00A62D85">
        <w:t xml:space="preserve">los Talleres Interculturales </w:t>
      </w:r>
      <w:r>
        <w:t>sean de carácter obligatorio.</w:t>
      </w:r>
    </w:p>
    <w:p w14:paraId="50C15C42" w14:textId="77777777" w:rsidR="00B963C4" w:rsidRDefault="00A62D85">
      <w:pPr>
        <w:spacing w:after="140" w:line="320" w:lineRule="auto"/>
        <w:ind w:firstLine="567"/>
        <w:jc w:val="both"/>
      </w:pPr>
      <w:r>
        <w:t xml:space="preserve">El control y monitoreo de las obras se realizará a través de la UTGA ampliada, en la que las Comunidades tienen participación efectiva mediante representantes designados, en el marco del artículo 4° de la Resolución del DEM </w:t>
      </w:r>
      <w:proofErr w:type="spellStart"/>
      <w:r>
        <w:t>N°</w:t>
      </w:r>
      <w:proofErr w:type="spellEnd"/>
      <w:r>
        <w:t xml:space="preserve"> 1693/96 reglamentaria de la Ordenanza </w:t>
      </w:r>
      <w:proofErr w:type="spellStart"/>
      <w:r>
        <w:t>N°</w:t>
      </w:r>
      <w:proofErr w:type="spellEnd"/>
      <w:r>
        <w:t xml:space="preserve"> 1584/94, conforme se establece en el articulado de la presente.</w:t>
      </w:r>
    </w:p>
    <w:p w14:paraId="24FD2865" w14:textId="77777777" w:rsidR="00B963C4" w:rsidRDefault="00A62D85">
      <w:pPr>
        <w:spacing w:after="200" w:line="320" w:lineRule="auto"/>
        <w:ind w:firstLine="567"/>
        <w:jc w:val="both"/>
      </w:pPr>
      <w:r>
        <w:lastRenderedPageBreak/>
        <w:t xml:space="preserve">No se incorpora la mención a “afectaciones ya registradas en el Paraje </w:t>
      </w:r>
      <w:proofErr w:type="spellStart"/>
      <w:r>
        <w:t>Payla</w:t>
      </w:r>
      <w:proofErr w:type="spellEnd"/>
      <w:r>
        <w:t xml:space="preserve"> Menuko” como fundamento normativo, por no constar tal calificación administrativa en el expediente bajo análisis. La calidad del agua de los parajes se aborda en el componente técnico del INFA mediante el monitoreo en los puntos PM-3, PM-4 y PM-5.</w:t>
      </w:r>
    </w:p>
    <w:p w14:paraId="1F036B0F" w14:textId="77777777" w:rsidR="00B963C4" w:rsidRDefault="00A62D85">
      <w:pPr>
        <w:spacing w:before="280" w:after="140" w:line="320" w:lineRule="auto"/>
      </w:pPr>
      <w:r>
        <w:rPr>
          <w:b/>
          <w:bCs/>
        </w:rPr>
        <w:t>Punto 11. Artículo 5°. Adecuación inmediata del Cronograma General de Tareas</w:t>
      </w:r>
    </w:p>
    <w:p w14:paraId="612ED30C" w14:textId="77777777" w:rsidR="00B963C4" w:rsidRDefault="00A62D85">
      <w:pPr>
        <w:spacing w:after="160" w:line="300" w:lineRule="auto"/>
        <w:ind w:left="567" w:right="283"/>
        <w:jc w:val="both"/>
      </w:pPr>
      <w:r>
        <w:rPr>
          <w:b/>
          <w:bCs/>
          <w:i/>
          <w:iCs/>
          <w:sz w:val="20"/>
          <w:szCs w:val="20"/>
        </w:rPr>
        <w:t xml:space="preserve">Texto propuesto: </w:t>
      </w:r>
      <w:r>
        <w:rPr>
          <w:i/>
          <w:iCs/>
          <w:sz w:val="20"/>
          <w:szCs w:val="20"/>
        </w:rPr>
        <w:t>“Artículo 5°.- ESTABLÉCESE que deberá adecuarse de manera inmediata el Cronograma General de Tareas, priorizando con carácter urgente la ejecución de las obras y acciones destinadas al control de la erosión del suelo ocasionada por precipitaciones, deshielo, escorrentías superficiales y movimiento de suelos derivados del proyecto. Asimismo, deberán ejecutarse prioritariamente las zanjas de guarda, conducción, drenaje y demás infraestructuras hidráulicas necesarias para prevenir, contener y encauzar los escurrimientos, evitando la afectación ambiental y sanitaria de los territorios y cursos de agua ubicados aguas abajo de las obras, en especial aquellos vinculados al abastecimiento comunitario. El cronograma reformulado deberá contener etapas, plazos ciertos, responsables técnicos y mecanismos de verificación, quedando sujeto a revisión y aprobación en las instancias participativas de carácter vinculante establecidas en la presente resolución.”</w:t>
      </w:r>
    </w:p>
    <w:p w14:paraId="5C6360D4" w14:textId="77777777" w:rsidR="00B963C4" w:rsidRDefault="00A62D85">
      <w:pPr>
        <w:spacing w:after="140" w:line="320" w:lineRule="auto"/>
        <w:ind w:firstLine="567"/>
        <w:jc w:val="both"/>
      </w:pPr>
      <w:r>
        <w:t>Se mantiene la redacción originalmente proyectada, que recoge los objetivos sustantivos de la propuesta comunitaria —priorización del control de la erosión y de las zanjas de conducción para evitar la afectación de las escorrentías aguas abajo de las obras— sin entrar en exigencias técnicamente inviables.</w:t>
      </w:r>
    </w:p>
    <w:p w14:paraId="6B868D50" w14:textId="77777777" w:rsidR="00B963C4" w:rsidRDefault="00A62D85">
      <w:pPr>
        <w:spacing w:after="140" w:line="320" w:lineRule="auto"/>
        <w:ind w:firstLine="567"/>
        <w:jc w:val="both"/>
      </w:pPr>
      <w:r>
        <w:t>No se incorpora la exigencia de ejecución prioritaria de la totalidad de las infraestructuras hidráulicas (zanjas de guarda, conducción, drenaje y demás) durante la etapa constructiva. Las medidas de mitigación definitivas no pueden ejecutarse en forma anticipada sobre una obra en construcción: la trampa de hidrocarburos, el sistema de retención y demás dispositivos previstos en el INFA están diseñados para operar sobre el sistema terminado. Durante la obra corresponde exigir medidas transitorias de control de sedimentos y erosión, no las definitivas, exigencia que se canaliza a través del seguimiento que efectúa la UTGA ampliada.</w:t>
      </w:r>
    </w:p>
    <w:p w14:paraId="23E83046" w14:textId="77777777" w:rsidR="00B963C4" w:rsidRDefault="00A62D85">
      <w:pPr>
        <w:spacing w:after="200" w:line="320" w:lineRule="auto"/>
        <w:ind w:firstLine="567"/>
        <w:jc w:val="both"/>
      </w:pPr>
      <w:r>
        <w:t>No se incorpora la sujeción del cronograma a revisión y aprobación de instancias participativas de carácter vinculante, por las razones desarrolladas en la respuesta al Punto 10.</w:t>
      </w:r>
    </w:p>
    <w:p w14:paraId="1D90AACC" w14:textId="77777777" w:rsidR="00B963C4" w:rsidRDefault="00A62D85">
      <w:pPr>
        <w:spacing w:before="280" w:after="140" w:line="320" w:lineRule="auto"/>
      </w:pPr>
      <w:r>
        <w:rPr>
          <w:b/>
          <w:bCs/>
        </w:rPr>
        <w:t>Punto 12. Artículo 6°. Afectación aguas abajo y categoría de afectación “potencial”</w:t>
      </w:r>
    </w:p>
    <w:p w14:paraId="51F524E2" w14:textId="77777777" w:rsidR="00B963C4" w:rsidRDefault="00A62D85">
      <w:pPr>
        <w:spacing w:after="160" w:line="300" w:lineRule="auto"/>
        <w:ind w:left="567" w:right="283"/>
        <w:jc w:val="both"/>
      </w:pPr>
      <w:r>
        <w:rPr>
          <w:b/>
          <w:bCs/>
          <w:i/>
          <w:iCs/>
          <w:sz w:val="20"/>
          <w:szCs w:val="20"/>
        </w:rPr>
        <w:t xml:space="preserve">Texto propuesto: </w:t>
      </w:r>
      <w:r>
        <w:rPr>
          <w:i/>
          <w:iCs/>
          <w:sz w:val="20"/>
          <w:szCs w:val="20"/>
        </w:rPr>
        <w:t xml:space="preserve">“Artículo 6°.- ESTABLÉCESE que, ante toda afectación real, potencial o inminente del territorio ubicado aguas abajo de las obras, incluyendo cursos de agua, suelos, biodiversidad, infraestructura comunitaria o condiciones de vida de la población, la empresa concesionaria deberá implementar de manera inmediata y a su </w:t>
      </w:r>
      <w:r>
        <w:rPr>
          <w:i/>
          <w:iCs/>
          <w:sz w:val="20"/>
          <w:szCs w:val="20"/>
        </w:rPr>
        <w:lastRenderedPageBreak/>
        <w:t>exclusivo costo todas las medidas de contingencia, mitigación, remediación, recomposición y reparación integral que resulten necesarias. Dichas medidas deberán ejecutarse con carácter urgente, bajo control técnico y con participación comunitaria vinculante, hasta el cese total del impacto y la restitución de las condiciones ambientales preexistentes, sin perjuicio de las sanciones administrativas, civiles o penales que pudieren corresponder.”</w:t>
      </w:r>
    </w:p>
    <w:p w14:paraId="4494C499" w14:textId="77777777" w:rsidR="00B963C4" w:rsidRDefault="00A62D85">
      <w:pPr>
        <w:spacing w:after="140" w:line="320" w:lineRule="auto"/>
        <w:ind w:firstLine="567"/>
        <w:jc w:val="both"/>
      </w:pPr>
      <w:r>
        <w:t>Se mantiene la redacción originalmente proyectada, que dispone que ante una eventual afectación del territorio ubicado aguas abajo de las obras deberán implementarse todas las medidas de remediación y mitigación necesarias.</w:t>
      </w:r>
    </w:p>
    <w:p w14:paraId="1A46FAE6" w14:textId="77777777" w:rsidR="00B963C4" w:rsidRDefault="00A62D85">
      <w:pPr>
        <w:spacing w:after="140" w:line="320" w:lineRule="auto"/>
        <w:ind w:firstLine="567"/>
        <w:jc w:val="both"/>
      </w:pPr>
      <w:r>
        <w:t>No se incorpora la categoría de afectación “potencial” como base autónoma de la obligación de remediación. La afectación potencial, no concretada, no genera obligación de reparación ambiental: se trata de un riesgo, no de un daño, y como tal está cubierto por el régimen preventivo y precautorio del Plan de Gestión Ambiental, no por el régimen sancionatorio. La obligación de remediación nace ante la afectación efectiva o inminente, no ante la mera posibilidad.</w:t>
      </w:r>
    </w:p>
    <w:p w14:paraId="301410D0" w14:textId="77777777" w:rsidR="00B963C4" w:rsidRDefault="00A62D85">
      <w:pPr>
        <w:spacing w:after="200" w:line="320" w:lineRule="auto"/>
        <w:ind w:firstLine="567"/>
        <w:jc w:val="both"/>
      </w:pPr>
      <w:r>
        <w:t>No se incorpora el segundo párrafo de la propuesta (control técnico con participación comunitaria vinculante hasta el cese total del impacto, y reserva de sanciones civiles y penales). La eventual responsabilidad civil y penal del concesionario surge de la ley con independencia de su mención en este acto, y la participación comunitaria vinculante en el control opera por las razones desarrolladas en las respuestas a los Puntos 10 y 11.</w:t>
      </w:r>
    </w:p>
    <w:p w14:paraId="0CD5CB71" w14:textId="77777777" w:rsidR="00B963C4" w:rsidRDefault="00A62D85">
      <w:pPr>
        <w:spacing w:before="280" w:after="140" w:line="320" w:lineRule="auto"/>
      </w:pPr>
      <w:r>
        <w:rPr>
          <w:b/>
          <w:bCs/>
        </w:rPr>
        <w:t>Punto 13. Artículo 7°. Encabezado del régimen sancionatorio</w:t>
      </w:r>
    </w:p>
    <w:p w14:paraId="00EA534B" w14:textId="77777777" w:rsidR="00B963C4" w:rsidRDefault="00A62D85">
      <w:pPr>
        <w:spacing w:after="160" w:line="300" w:lineRule="auto"/>
        <w:ind w:left="567" w:right="283"/>
        <w:jc w:val="both"/>
      </w:pPr>
      <w:r>
        <w:rPr>
          <w:b/>
          <w:bCs/>
          <w:i/>
          <w:iCs/>
          <w:sz w:val="20"/>
          <w:szCs w:val="20"/>
        </w:rPr>
        <w:t xml:space="preserve">Texto propuesto: </w:t>
      </w:r>
      <w:r>
        <w:rPr>
          <w:i/>
          <w:iCs/>
          <w:sz w:val="20"/>
          <w:szCs w:val="20"/>
        </w:rPr>
        <w:t>“Artículo 7°.- ESTABLÉCESE que las infracciones que se comprueben antes, durante o después de la ejecución de la obra, que alteren, violen o incumplan los términos de la Declaración Ambiental, del Plan de Gestión Ambiental o de las decisiones vinculantes adoptadas en el marco de la presente, y que produzcan daños reales o potenciales al ambiente, serán sancionadas a criterio de las Comunidades mapuche conforme la gravedad de la conducta con: […]”</w:t>
      </w:r>
    </w:p>
    <w:p w14:paraId="388A224A" w14:textId="77777777" w:rsidR="00B963C4" w:rsidRDefault="00A62D85">
      <w:pPr>
        <w:spacing w:after="140" w:line="320" w:lineRule="auto"/>
        <w:ind w:firstLine="567"/>
        <w:jc w:val="both"/>
      </w:pPr>
      <w:r>
        <w:t>Se mantiene la redacción originalmente proyectada: la calificación de la gravedad de la conducta y la aplicación de la sanción corresponden a la Autoridad de Aplicación municipal, conforme al régimen sancionatorio vigente.</w:t>
      </w:r>
    </w:p>
    <w:p w14:paraId="265233A6" w14:textId="77777777" w:rsidR="00B963C4" w:rsidRDefault="00A62D85">
      <w:pPr>
        <w:spacing w:after="200" w:line="320" w:lineRule="auto"/>
        <w:ind w:firstLine="567"/>
        <w:jc w:val="both"/>
      </w:pPr>
      <w:r>
        <w:t xml:space="preserve">No se incorpora la atribución de la facultad sancionatoria “a criterio de las Comunidades mapuche”. Las multas y sanciones por infracciones ambientales no constituyen una facultad que pueda ser delegada por Resolución Conjunta a un sujeto distinto del que la ley designa: la Autoridad de Aplicación es el órgano municipal competente conforme a las Ordenanzas </w:t>
      </w:r>
      <w:proofErr w:type="spellStart"/>
      <w:r>
        <w:t>N°</w:t>
      </w:r>
      <w:proofErr w:type="spellEnd"/>
      <w:r>
        <w:t xml:space="preserve"> 1584/94 y 2.007/96 (modificatoria 2.601/97). La participación efectiva de las Comunidades en el monitoreo se canaliza a través de la UTGA ampliada.</w:t>
      </w:r>
    </w:p>
    <w:p w14:paraId="3A94202D" w14:textId="77777777" w:rsidR="00B963C4" w:rsidRDefault="00A62D85">
      <w:pPr>
        <w:spacing w:before="280" w:after="140" w:line="320" w:lineRule="auto"/>
      </w:pPr>
      <w:r>
        <w:rPr>
          <w:b/>
          <w:bCs/>
        </w:rPr>
        <w:lastRenderedPageBreak/>
        <w:t>Punto 14. Artículo 7° inciso a). Multa entre el 1 % y el 20 %</w:t>
      </w:r>
    </w:p>
    <w:p w14:paraId="5FA33304" w14:textId="77777777" w:rsidR="00B963C4" w:rsidRDefault="00A62D85">
      <w:pPr>
        <w:spacing w:after="160" w:line="300" w:lineRule="auto"/>
        <w:ind w:left="567" w:right="283"/>
        <w:jc w:val="both"/>
      </w:pPr>
      <w:r>
        <w:rPr>
          <w:b/>
          <w:bCs/>
          <w:i/>
          <w:iCs/>
          <w:sz w:val="20"/>
          <w:szCs w:val="20"/>
        </w:rPr>
        <w:t xml:space="preserve">Texto propuesto: </w:t>
      </w:r>
      <w:r>
        <w:rPr>
          <w:i/>
          <w:iCs/>
          <w:sz w:val="20"/>
          <w:szCs w:val="20"/>
        </w:rPr>
        <w:t>“a) Multa equivalente entre el uno por ciento (1 %) y el veinte por ciento (20 %) de la inversión proyectada, sin perjuicio de la inmediata ejecución de las acciones correctivas correspondientes;”</w:t>
      </w:r>
    </w:p>
    <w:p w14:paraId="12E90409" w14:textId="77777777" w:rsidR="00B963C4" w:rsidRDefault="00A62D85">
      <w:pPr>
        <w:spacing w:after="200" w:line="320" w:lineRule="auto"/>
        <w:ind w:firstLine="567"/>
        <w:jc w:val="both"/>
      </w:pPr>
      <w:r>
        <w:t>Se incorpora en términos sustancialmente equivalentes. La redacción originalmente proyectada prevé la multa entre el uno por ciento (1 %) y el veinte por ciento (20 %) de la inversión proyectada, más la correspondiente acción correctiva, conforme al régimen sancionatorio vigente.</w:t>
      </w:r>
    </w:p>
    <w:p w14:paraId="104C901C" w14:textId="77777777" w:rsidR="00B963C4" w:rsidRDefault="00A62D85">
      <w:pPr>
        <w:spacing w:before="280" w:after="140" w:line="320" w:lineRule="auto"/>
      </w:pPr>
      <w:r>
        <w:rPr>
          <w:b/>
          <w:bCs/>
        </w:rPr>
        <w:t>Punto 15. Artículo 7° inciso b). Suspensión total o parcial</w:t>
      </w:r>
    </w:p>
    <w:p w14:paraId="6441368B" w14:textId="77777777" w:rsidR="00B963C4" w:rsidRDefault="00A62D85">
      <w:pPr>
        <w:spacing w:after="160" w:line="300" w:lineRule="auto"/>
        <w:ind w:left="567" w:right="283"/>
        <w:jc w:val="both"/>
      </w:pPr>
      <w:r>
        <w:rPr>
          <w:b/>
          <w:bCs/>
          <w:i/>
          <w:iCs/>
          <w:sz w:val="20"/>
          <w:szCs w:val="20"/>
        </w:rPr>
        <w:t xml:space="preserve">Texto propuesto: </w:t>
      </w:r>
      <w:r>
        <w:rPr>
          <w:i/>
          <w:iCs/>
          <w:sz w:val="20"/>
          <w:szCs w:val="20"/>
        </w:rPr>
        <w:t>“b) Suspensión total o parcial de las obras y actividades;”</w:t>
      </w:r>
    </w:p>
    <w:p w14:paraId="34D6716D" w14:textId="77777777" w:rsidR="00B963C4" w:rsidRDefault="00A62D85">
      <w:pPr>
        <w:spacing w:after="200" w:line="320" w:lineRule="auto"/>
        <w:ind w:firstLine="567"/>
        <w:jc w:val="both"/>
      </w:pPr>
      <w:r>
        <w:t>No se incorpora como sanción autónoma. La suspensión total o parcial de las obras integra naturalmente el conjunto de acciones correctivas que la Autoridad de Aplicación puede disponer en el marco de la facultad de monitoreo y control, sin necesidad de configurarla como sanción independiente en el régimen sancionatorio.</w:t>
      </w:r>
    </w:p>
    <w:p w14:paraId="21CA30E6" w14:textId="77777777" w:rsidR="00B963C4" w:rsidRDefault="00A62D85">
      <w:pPr>
        <w:spacing w:before="280" w:after="140" w:line="320" w:lineRule="auto"/>
      </w:pPr>
      <w:r>
        <w:rPr>
          <w:b/>
          <w:bCs/>
        </w:rPr>
        <w:t>Punto 16. Artículo 7° inciso c). Caducidad de la Declaración Ambiental</w:t>
      </w:r>
    </w:p>
    <w:p w14:paraId="64C2BA46" w14:textId="77777777" w:rsidR="00B963C4" w:rsidRDefault="00A62D85">
      <w:pPr>
        <w:spacing w:after="160" w:line="300" w:lineRule="auto"/>
        <w:ind w:left="567" w:right="283"/>
        <w:jc w:val="both"/>
      </w:pPr>
      <w:r>
        <w:rPr>
          <w:b/>
          <w:bCs/>
          <w:i/>
          <w:iCs/>
          <w:sz w:val="20"/>
          <w:szCs w:val="20"/>
        </w:rPr>
        <w:t xml:space="preserve">Texto propuesto: </w:t>
      </w:r>
      <w:r>
        <w:rPr>
          <w:i/>
          <w:iCs/>
          <w:sz w:val="20"/>
          <w:szCs w:val="20"/>
        </w:rPr>
        <w:t>“c) Caducidad de la Declaración Ambiental;”</w:t>
      </w:r>
    </w:p>
    <w:p w14:paraId="1D70FDA7" w14:textId="77777777" w:rsidR="00B963C4" w:rsidRDefault="00A62D85">
      <w:pPr>
        <w:spacing w:after="200" w:line="320" w:lineRule="auto"/>
        <w:ind w:firstLine="567"/>
        <w:jc w:val="both"/>
      </w:pPr>
      <w:r>
        <w:t>Se incorpora. La caducidad de la Declaración Ambiental ya se encuentra prevista en la redacción originalmente proyectada, conjuntamente con la implementación de las correspondientes acciones correctivas, conforme al régimen sancionatorio vigente.</w:t>
      </w:r>
    </w:p>
    <w:p w14:paraId="12BFAA91" w14:textId="77777777" w:rsidR="00B963C4" w:rsidRDefault="00A62D85">
      <w:pPr>
        <w:spacing w:before="280" w:after="140" w:line="320" w:lineRule="auto"/>
      </w:pPr>
      <w:r>
        <w:rPr>
          <w:b/>
          <w:bCs/>
        </w:rPr>
        <w:t>Punto 17. Artículo 7° inciso d). Obligación de remediación, recomposición y reparación integral</w:t>
      </w:r>
    </w:p>
    <w:p w14:paraId="5DFF274F" w14:textId="77777777" w:rsidR="00B963C4" w:rsidRDefault="00A62D85">
      <w:pPr>
        <w:spacing w:after="160" w:line="300" w:lineRule="auto"/>
        <w:ind w:left="567" w:right="283"/>
        <w:jc w:val="both"/>
      </w:pPr>
      <w:r>
        <w:rPr>
          <w:b/>
          <w:bCs/>
          <w:i/>
          <w:iCs/>
          <w:sz w:val="20"/>
          <w:szCs w:val="20"/>
        </w:rPr>
        <w:t xml:space="preserve">Texto propuesto: </w:t>
      </w:r>
      <w:r>
        <w:rPr>
          <w:i/>
          <w:iCs/>
          <w:sz w:val="20"/>
          <w:szCs w:val="20"/>
        </w:rPr>
        <w:t>“d) Obligación de remediación, recomposición y reparación integral del daño ocasionado.”</w:t>
      </w:r>
    </w:p>
    <w:p w14:paraId="2093E91A" w14:textId="77777777" w:rsidR="00B963C4" w:rsidRDefault="00A62D85">
      <w:pPr>
        <w:spacing w:after="200" w:line="320" w:lineRule="auto"/>
        <w:ind w:firstLine="567"/>
        <w:jc w:val="both"/>
      </w:pPr>
      <w:r>
        <w:t xml:space="preserve">No se incorpora como sanción autónoma. La obligación de remediación, recomposición y reparación integral del daño no se encuentra tipificada en el Código de Faltas Municipal ni en el régimen sancionatorio de las Ordenanzas </w:t>
      </w:r>
      <w:proofErr w:type="spellStart"/>
      <w:r>
        <w:t>N°</w:t>
      </w:r>
      <w:proofErr w:type="spellEnd"/>
      <w:r>
        <w:t xml:space="preserve"> 1584/94 y 2.007/96. La reparación del daño ambiental opera por aplicación directa de la Ley General del Ambiente </w:t>
      </w:r>
      <w:proofErr w:type="spellStart"/>
      <w:r>
        <w:t>N°</w:t>
      </w:r>
      <w:proofErr w:type="spellEnd"/>
      <w:r>
        <w:t xml:space="preserve"> 25.675 (artículos 27 a 33) con independencia de su mención en este acto, y se canaliza a través de las acciones correctivas previstas en el inciso a).</w:t>
      </w:r>
    </w:p>
    <w:p w14:paraId="65625765" w14:textId="77777777" w:rsidR="00B963C4" w:rsidRDefault="00A62D85">
      <w:pPr>
        <w:spacing w:before="280" w:after="140" w:line="320" w:lineRule="auto"/>
      </w:pPr>
      <w:r>
        <w:rPr>
          <w:b/>
          <w:bCs/>
        </w:rPr>
        <w:t>Punto 18. Artículo 7°. Fondo Especial de Reparación Socioambiental Comunitaria</w:t>
      </w:r>
    </w:p>
    <w:p w14:paraId="08BFAC70" w14:textId="77777777" w:rsidR="00B963C4" w:rsidRDefault="00A62D85">
      <w:pPr>
        <w:spacing w:after="160" w:line="300" w:lineRule="auto"/>
        <w:ind w:left="567" w:right="283"/>
        <w:jc w:val="both"/>
      </w:pPr>
      <w:r>
        <w:rPr>
          <w:b/>
          <w:bCs/>
          <w:i/>
          <w:iCs/>
          <w:sz w:val="20"/>
          <w:szCs w:val="20"/>
        </w:rPr>
        <w:t xml:space="preserve">Texto propuesto: </w:t>
      </w:r>
      <w:r>
        <w:rPr>
          <w:i/>
          <w:iCs/>
          <w:sz w:val="20"/>
          <w:szCs w:val="20"/>
        </w:rPr>
        <w:t xml:space="preserve">“ESTABLÉCESE que los montos provenientes de multas, sanciones económicas, garantías ejecutadas o créditos fiscales derivados del incumplimiento del proyecto serán afectados prioritariamente a un Fondo Especial de Reparación </w:t>
      </w:r>
      <w:r>
        <w:rPr>
          <w:i/>
          <w:iCs/>
          <w:sz w:val="20"/>
          <w:szCs w:val="20"/>
        </w:rPr>
        <w:lastRenderedPageBreak/>
        <w:t>Socioambiental Comunitaria, destinado a las Comunidades afectadas y orientado a obras de agua potable, saneamiento, restauración ambiental, monitoreo independiente, fortalecimiento territorial y recomposición de los daños causados.”</w:t>
      </w:r>
    </w:p>
    <w:p w14:paraId="3C4709FF" w14:textId="47E8923F" w:rsidR="00B963C4" w:rsidRDefault="00A62D85">
      <w:pPr>
        <w:spacing w:after="140" w:line="320" w:lineRule="auto"/>
        <w:ind w:firstLine="567"/>
        <w:jc w:val="both"/>
      </w:pPr>
      <w:r>
        <w:t>Se incorpora la creación del Fondo Especial de Reparación Socioambiental Comunitaria, manteniendo la denominación propuesta por las Comunidades, al cual se afectarán los montos recaudados en virtud del incumplimiento de la Declaración Ambiental.</w:t>
      </w:r>
      <w:r w:rsidR="005E2ACB">
        <w:t xml:space="preserve"> En el articulo 10 se establece que se reglamentara este instrumento en el marco de la Mesa Intercultural.</w:t>
      </w:r>
    </w:p>
    <w:p w14:paraId="0D90D9D5" w14:textId="77777777" w:rsidR="00B963C4" w:rsidRDefault="00A62D85">
      <w:pPr>
        <w:spacing w:before="280" w:after="140" w:line="320" w:lineRule="auto"/>
      </w:pPr>
      <w:r>
        <w:rPr>
          <w:b/>
          <w:bCs/>
        </w:rPr>
        <w:t>Punto 19. Artículo 7°. Desistimiento o abandono del proyecto</w:t>
      </w:r>
    </w:p>
    <w:p w14:paraId="090174AF" w14:textId="77777777" w:rsidR="00B963C4" w:rsidRDefault="00A62D85">
      <w:pPr>
        <w:spacing w:after="160" w:line="300" w:lineRule="auto"/>
        <w:ind w:left="567" w:right="283"/>
        <w:jc w:val="both"/>
      </w:pPr>
      <w:r>
        <w:rPr>
          <w:b/>
          <w:bCs/>
          <w:i/>
          <w:iCs/>
          <w:sz w:val="20"/>
          <w:szCs w:val="20"/>
        </w:rPr>
        <w:t xml:space="preserve">Texto propuesto: </w:t>
      </w:r>
      <w:r>
        <w:rPr>
          <w:i/>
          <w:iCs/>
          <w:sz w:val="20"/>
          <w:szCs w:val="20"/>
        </w:rPr>
        <w:t>“En caso de desistimiento o abandono del proyecto luego de iniciada su ejecución, previa constatación técnica de la Autoridad de Aplicación, el peticionante será sancionado con multa dentro de los parámetros precedentes, caducidad de la autorización y obligación de ejecutar a su exclusivo costo las tareas de cierre, saneamiento y recomposición ambiental necesarias.”</w:t>
      </w:r>
    </w:p>
    <w:p w14:paraId="17E608D0" w14:textId="77777777" w:rsidR="00B963C4" w:rsidRDefault="00A62D85">
      <w:pPr>
        <w:spacing w:after="200" w:line="320" w:lineRule="auto"/>
        <w:ind w:firstLine="567"/>
        <w:jc w:val="both"/>
      </w:pPr>
      <w:r>
        <w:t>Se mantiene la redacción originalmente proyectada, que ya prevé el régimen aplicable al desistimiento o abandono del proyecto en términos más detallados que la propuesta comunitaria: previa constatación de la situación de desistimiento o abandono mediante inspección efectuada por la Subsecretaría de Gestión Ambiental, sanción con multa entre el uno por ciento (1 %) y el veinte por ciento (20 %) de la inversión proyectada y caducidad de la Declaración Ambiental.</w:t>
      </w:r>
    </w:p>
    <w:p w14:paraId="6EECBF9E" w14:textId="77777777" w:rsidR="00B963C4" w:rsidRDefault="00A62D85">
      <w:pPr>
        <w:spacing w:before="280" w:after="140" w:line="320" w:lineRule="auto"/>
      </w:pPr>
      <w:r>
        <w:rPr>
          <w:b/>
          <w:bCs/>
        </w:rPr>
        <w:t>Punto 20. Artículo 7°. Carácter ejecutivo del crédito fiscal</w:t>
      </w:r>
    </w:p>
    <w:p w14:paraId="0B80091D" w14:textId="77777777" w:rsidR="00B963C4" w:rsidRDefault="00A62D85">
      <w:pPr>
        <w:spacing w:after="160" w:line="300" w:lineRule="auto"/>
        <w:ind w:left="567" w:right="283"/>
        <w:jc w:val="both"/>
      </w:pPr>
      <w:r>
        <w:rPr>
          <w:b/>
          <w:bCs/>
          <w:i/>
          <w:iCs/>
          <w:sz w:val="20"/>
          <w:szCs w:val="20"/>
        </w:rPr>
        <w:t xml:space="preserve">Texto propuesto: </w:t>
      </w:r>
      <w:r>
        <w:rPr>
          <w:i/>
          <w:iCs/>
          <w:sz w:val="20"/>
          <w:szCs w:val="20"/>
        </w:rPr>
        <w:t>“El crédito fiscal que se genere tendrá carácter de título ejecutivo suficiente para su cobro por la vía correspondiente, manteniendo la afectación específica prevista en el presente artículo.”</w:t>
      </w:r>
    </w:p>
    <w:p w14:paraId="49EA42A0" w14:textId="77777777" w:rsidR="00B963C4" w:rsidRDefault="00A62D85">
      <w:pPr>
        <w:spacing w:after="200" w:line="320" w:lineRule="auto"/>
        <w:ind w:firstLine="567"/>
        <w:jc w:val="both"/>
      </w:pPr>
      <w:r>
        <w:t>Se incorpora en sustancia. La redacción originalmente proyectada prevé que el crédito fiscal que se genere a favor del Municipio y a cargo del peticionante en caso de abandono del proyecto durante su ejecución se instrumentará como título fiscal ejecutivo, y su monto será destinado a solventar las acciones municipales reparadoras del ambiente que sean necesarias. La afectación específica de los montos al Fondo Especial creado conforme al Punto 18 opera por integración con dicha disposición.</w:t>
      </w:r>
    </w:p>
    <w:p w14:paraId="3B0ACA98" w14:textId="77777777" w:rsidR="00B963C4" w:rsidRDefault="00A62D85">
      <w:pPr>
        <w:pBdr>
          <w:bottom w:val="single" w:sz="6" w:space="4" w:color="1F3864"/>
        </w:pBdr>
        <w:spacing w:before="360" w:after="200" w:line="320" w:lineRule="auto"/>
      </w:pPr>
      <w:r>
        <w:rPr>
          <w:b/>
          <w:bCs/>
          <w:color w:val="1F3864"/>
          <w:sz w:val="24"/>
          <w:szCs w:val="24"/>
        </w:rPr>
        <w:t>IV. Conclusión</w:t>
      </w:r>
    </w:p>
    <w:p w14:paraId="280AF439" w14:textId="77777777" w:rsidR="00B963C4" w:rsidRDefault="00A62D85">
      <w:pPr>
        <w:spacing w:after="200" w:line="320" w:lineRule="auto"/>
        <w:ind w:firstLine="567"/>
        <w:jc w:val="both"/>
      </w:pPr>
      <w:r>
        <w:t xml:space="preserve">Conforme a las consideraciones expuestas, el Concejo Deliberante de la Municipalidad de San Martín de los Andes incorpora al texto definitivo de la Resolución Conjunta los aportes sustantivos formulados por las Comunidades Mapuche Lof Vera y Lof Curruhuinca que resultan compatibles con el marco normativo municipal, provincial </w:t>
      </w:r>
      <w:r>
        <w:lastRenderedPageBreak/>
        <w:t>y nacional vigente, y con la distribución de competencias entre la Provincia y el Municipio, conforme al detalle precedente.</w:t>
      </w:r>
    </w:p>
    <w:p w14:paraId="474801BA" w14:textId="77777777" w:rsidR="00B963C4" w:rsidRDefault="00A62D85">
      <w:pPr>
        <w:spacing w:after="200" w:line="320" w:lineRule="auto"/>
        <w:ind w:firstLine="567"/>
        <w:jc w:val="both"/>
      </w:pPr>
      <w:r>
        <w:t xml:space="preserve">Aquellas observaciones que no se incorporan al cuerpo de la Resolución Conjunta —fundamentalmente, la sección de Observación sobre incumplimiento del Protocolo Intercultural, las facultades vinculantes y de policía atribuidas a órganos no previstos en la normativa vigente, y las modificaciones del régimen sancionatorio que exceden el marco de las Ordenanzas </w:t>
      </w:r>
      <w:proofErr w:type="spellStart"/>
      <w:r>
        <w:t>N°</w:t>
      </w:r>
      <w:proofErr w:type="spellEnd"/>
      <w:r>
        <w:t xml:space="preserve"> 1584/94 y 2.007/96— se responden por la presente nota, en el entendimiento de que el procedimiento de subsanación previsto por el artículo 26 de la Ordenanza </w:t>
      </w:r>
      <w:proofErr w:type="spellStart"/>
      <w:r>
        <w:t>N°</w:t>
      </w:r>
      <w:proofErr w:type="spellEnd"/>
      <w:r>
        <w:t xml:space="preserve"> 14.490/23 ha sido íntegramente cumplido.</w:t>
      </w:r>
    </w:p>
    <w:p w14:paraId="3077204D" w14:textId="77777777" w:rsidR="00B963C4" w:rsidRDefault="00A62D85">
      <w:pPr>
        <w:spacing w:after="200" w:line="320" w:lineRule="auto"/>
        <w:ind w:firstLine="567"/>
        <w:jc w:val="both"/>
      </w:pPr>
      <w:r>
        <w:t>Este Cuerpo reafirma su voluntad de diálogo institucional con las Comunidades Mapuche, así como el reconocimiento de la preexistencia del Pueblo Mapuche y el respeto al principio de interculturalidad como principio rector del gobierno local, conforme a los considerandos que integran la Resolución Conjunta.</w:t>
      </w:r>
    </w:p>
    <w:p w14:paraId="651EFABE" w14:textId="3A1A90AE" w:rsidR="00B963C4" w:rsidRDefault="00A62D85">
      <w:pPr>
        <w:spacing w:after="720" w:line="320" w:lineRule="auto"/>
        <w:ind w:firstLine="567"/>
        <w:jc w:val="both"/>
      </w:pPr>
      <w:r>
        <w:t xml:space="preserve">Sin otro particular, saludo a las </w:t>
      </w:r>
      <w:proofErr w:type="spellStart"/>
      <w:r>
        <w:t>Lonko</w:t>
      </w:r>
      <w:proofErr w:type="spellEnd"/>
      <w:r w:rsidR="00414EE0">
        <w:t xml:space="preserve"> </w:t>
      </w:r>
      <w:r>
        <w:t>con la consideración más distinguida.</w:t>
      </w:r>
    </w:p>
    <w:p w14:paraId="708643E1" w14:textId="77777777" w:rsidR="00B963C4" w:rsidRDefault="00A62D85">
      <w:pPr>
        <w:spacing w:after="200" w:line="320" w:lineRule="auto"/>
        <w:jc w:val="center"/>
      </w:pPr>
      <w:r>
        <w:t>________________________________</w:t>
      </w:r>
    </w:p>
    <w:p w14:paraId="69E70E6A" w14:textId="77777777" w:rsidR="00B963C4" w:rsidRDefault="00A62D85">
      <w:pPr>
        <w:spacing w:after="200" w:line="320" w:lineRule="auto"/>
        <w:jc w:val="center"/>
      </w:pPr>
      <w:r>
        <w:rPr>
          <w:b/>
          <w:bCs/>
        </w:rPr>
        <w:t>Presidente del Concejo Deliberante</w:t>
      </w:r>
    </w:p>
    <w:p w14:paraId="6020E620" w14:textId="77777777" w:rsidR="00B963C4" w:rsidRDefault="00A62D85">
      <w:pPr>
        <w:spacing w:after="200" w:line="320" w:lineRule="auto"/>
        <w:jc w:val="center"/>
      </w:pPr>
      <w:r>
        <w:t>Municipalidad de San Martín de los Andes</w:t>
      </w:r>
    </w:p>
    <w:sectPr w:rsidR="00B963C4" w:rsidSect="0027642C">
      <w:pgSz w:w="11906" w:h="16838"/>
      <w:pgMar w:top="2268" w:right="1134" w:bottom="1134" w:left="226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B113D"/>
    <w:multiLevelType w:val="hybridMultilevel"/>
    <w:tmpl w:val="E390A27A"/>
    <w:lvl w:ilvl="0" w:tplc="B16889AC">
      <w:start w:val="1"/>
      <w:numFmt w:val="bullet"/>
      <w:lvlText w:val="●"/>
      <w:lvlJc w:val="left"/>
      <w:pPr>
        <w:ind w:left="720" w:hanging="360"/>
      </w:pPr>
    </w:lvl>
    <w:lvl w:ilvl="1" w:tplc="FA44AD48">
      <w:start w:val="1"/>
      <w:numFmt w:val="bullet"/>
      <w:lvlText w:val="○"/>
      <w:lvlJc w:val="left"/>
      <w:pPr>
        <w:ind w:left="1440" w:hanging="360"/>
      </w:pPr>
    </w:lvl>
    <w:lvl w:ilvl="2" w:tplc="446656B6">
      <w:start w:val="1"/>
      <w:numFmt w:val="bullet"/>
      <w:lvlText w:val="■"/>
      <w:lvlJc w:val="left"/>
      <w:pPr>
        <w:ind w:left="2160" w:hanging="360"/>
      </w:pPr>
    </w:lvl>
    <w:lvl w:ilvl="3" w:tplc="F4C492C2">
      <w:start w:val="1"/>
      <w:numFmt w:val="bullet"/>
      <w:lvlText w:val="●"/>
      <w:lvlJc w:val="left"/>
      <w:pPr>
        <w:ind w:left="2880" w:hanging="360"/>
      </w:pPr>
    </w:lvl>
    <w:lvl w:ilvl="4" w:tplc="9EA6BFEE">
      <w:start w:val="1"/>
      <w:numFmt w:val="bullet"/>
      <w:lvlText w:val="○"/>
      <w:lvlJc w:val="left"/>
      <w:pPr>
        <w:ind w:left="3600" w:hanging="360"/>
      </w:pPr>
    </w:lvl>
    <w:lvl w:ilvl="5" w:tplc="830A88C0">
      <w:start w:val="1"/>
      <w:numFmt w:val="bullet"/>
      <w:lvlText w:val="■"/>
      <w:lvlJc w:val="left"/>
      <w:pPr>
        <w:ind w:left="4320" w:hanging="360"/>
      </w:pPr>
    </w:lvl>
    <w:lvl w:ilvl="6" w:tplc="B4768886">
      <w:start w:val="1"/>
      <w:numFmt w:val="bullet"/>
      <w:lvlText w:val="●"/>
      <w:lvlJc w:val="left"/>
      <w:pPr>
        <w:ind w:left="5040" w:hanging="360"/>
      </w:pPr>
    </w:lvl>
    <w:lvl w:ilvl="7" w:tplc="E1D674A4">
      <w:start w:val="1"/>
      <w:numFmt w:val="bullet"/>
      <w:lvlText w:val="●"/>
      <w:lvlJc w:val="left"/>
      <w:pPr>
        <w:ind w:left="5760" w:hanging="360"/>
      </w:pPr>
    </w:lvl>
    <w:lvl w:ilvl="8" w:tplc="5B3C7EC2">
      <w:start w:val="1"/>
      <w:numFmt w:val="bullet"/>
      <w:lvlText w:val="●"/>
      <w:lvlJc w:val="left"/>
      <w:pPr>
        <w:ind w:left="6480" w:hanging="360"/>
      </w:pPr>
    </w:lvl>
  </w:abstractNum>
  <w:num w:numId="1" w16cid:durableId="3335384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3C4"/>
    <w:rsid w:val="00077CFF"/>
    <w:rsid w:val="0027642C"/>
    <w:rsid w:val="00414EE0"/>
    <w:rsid w:val="005E2ACB"/>
    <w:rsid w:val="00964F2A"/>
    <w:rsid w:val="00A62D85"/>
    <w:rsid w:val="00AC1034"/>
    <w:rsid w:val="00B963C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FF1C5"/>
  <w15:docId w15:val="{5784A188-6880-6C49-9449-97E43C4A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AR"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4574</Words>
  <Characters>25158</Characters>
  <Application>Microsoft Office Word</Application>
  <DocSecurity>0</DocSecurity>
  <Lines>209</Lines>
  <Paragraphs>59</Paragraphs>
  <ScaleCrop>false</ScaleCrop>
  <Company/>
  <LinksUpToDate>false</LinksUpToDate>
  <CharactersWithSpaces>29673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Usuario</cp:lastModifiedBy>
  <cp:revision>3</cp:revision>
  <dcterms:created xsi:type="dcterms:W3CDTF">2026-04-27T23:33:00Z</dcterms:created>
  <dcterms:modified xsi:type="dcterms:W3CDTF">2026-04-27T23:33:00Z</dcterms:modified>
</cp:coreProperties>
</file>