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
      </w:pPr>
      <w:r>
        <w:t xml:space="preserve"/>
      </w:r>
    </w:p>
    <w:p>
      <w:pPr>
        <w:spacing w:after="0" w:before="80"/>
      </w:pPr>
      <w:r>
        <w:t xml:space="preserve"/>
      </w:r>
    </w:p>
    <w:p>
      <w:pPr>
        <w:spacing w:after="120" w:before="0"/>
        <w:jc w:val="center"/>
      </w:pPr>
      <w:r>
        <w:rPr>
          <w:rFonts w:ascii="Times New Roman" w:cs="Times New Roman" w:eastAsia="Times New Roman" w:hAnsi="Times New Roman"/>
          <w:b/>
          <w:bCs/>
          <w:sz w:val="28"/>
          <w:szCs w:val="28"/>
        </w:rPr>
        <w:t xml:space="preserve">CRÍTICA JURÍDICO-AMBIENTAL FUNDADA</w:t>
      </w:r>
    </w:p>
    <w:p>
      <w:pPr>
        <w:spacing w:after="80" w:before="0"/>
        <w:jc w:val="center"/>
      </w:pPr>
      <w:r>
        <w:rPr>
          <w:rFonts w:ascii="Times New Roman" w:cs="Times New Roman" w:eastAsia="Times New Roman" w:hAnsi="Times New Roman"/>
          <w:i/>
          <w:iCs/>
          <w:sz w:val="24"/>
          <w:szCs w:val="24"/>
        </w:rPr>
        <w:t xml:space="preserve">Plan de Ordenamiento Territorial, Plan de Movilidad Urbana</w:t>
      </w:r>
    </w:p>
    <w:p>
      <w:pPr>
        <w:spacing w:after="80" w:before="0"/>
        <w:jc w:val="center"/>
      </w:pPr>
      <w:r>
        <w:rPr>
          <w:rFonts w:ascii="Times New Roman" w:cs="Times New Roman" w:eastAsia="Times New Roman" w:hAnsi="Times New Roman"/>
          <w:i/>
          <w:iCs/>
          <w:sz w:val="24"/>
          <w:szCs w:val="24"/>
        </w:rPr>
        <w:t xml:space="preserve">y Código de Planeamiento Urbano Rural</w:t>
      </w:r>
    </w:p>
    <w:p>
      <w:pPr>
        <w:spacing w:after="200" w:before="0"/>
        <w:jc w:val="center"/>
      </w:pPr>
      <w:r>
        <w:rPr>
          <w:rFonts w:ascii="Times New Roman" w:cs="Times New Roman" w:eastAsia="Times New Roman" w:hAnsi="Times New Roman"/>
          <w:i/>
          <w:iCs/>
          <w:sz w:val="24"/>
          <w:szCs w:val="24"/>
        </w:rPr>
        <w:t xml:space="preserve">Municipio de San Martín de los Andes — Provincia del Neuquén</w:t>
      </w:r>
    </w:p>
    <w:p>
      <w:pPr>
        <w:spacing w:after="0" w:before="0"/>
        <w:jc w:val="center"/>
      </w:pPr>
      <w:r>
        <w:rPr>
          <w:rFonts w:ascii="Times New Roman" w:cs="Times New Roman" w:eastAsia="Times New Roman" w:hAnsi="Times New Roman"/>
          <w:sz w:val="22"/>
          <w:szCs w:val="22"/>
        </w:rPr>
        <w:t xml:space="preserve">San Martín de los Andes, abril de 2026</w:t>
      </w:r>
    </w:p>
    <w:p>
      <w:pPr>
        <w:spacing w:after="0" w:before="80"/>
      </w:pPr>
      <w:r>
        <w:t xml:space="preserve"/>
      </w:r>
    </w:p>
    <w:p>
      <w:pPr>
        <w:spacing w:after="0" w:before="80"/>
      </w:pPr>
      <w:r>
        <w:t xml:space="preserve"/>
      </w:r>
    </w:p>
    <w:p>
      <w:pPr>
        <w:spacing w:after="120" w:before="320"/>
        <w:jc w:val="left"/>
      </w:pPr>
      <w:r>
        <w:rPr>
          <w:rFonts w:ascii="Times New Roman" w:cs="Times New Roman" w:eastAsia="Times New Roman" w:hAnsi="Times New Roman"/>
          <w:b/>
          <w:bCs/>
          <w:caps/>
          <w:sz w:val="24"/>
          <w:szCs w:val="24"/>
        </w:rPr>
        <w:t xml:space="preserve">I. Objeto y alcance</w:t>
      </w:r>
    </w:p>
    <w:p>
      <w:pPr>
        <w:spacing w:after="0" w:before="160"/>
        <w:jc w:val="both"/>
      </w:pPr>
      <w:r>
        <w:rPr>
          <w:rFonts w:ascii="Times New Roman" w:cs="Times New Roman" w:eastAsia="Times New Roman" w:hAnsi="Times New Roman"/>
          <w:sz w:val="24"/>
          <w:szCs w:val="24"/>
        </w:rPr>
        <w:t xml:space="preserve">El presente dictamen técnico-jurídico formula una crítica fundada al </w:t>
      </w:r>
      <w:r>
        <w:rPr>
          <w:rFonts w:ascii="Times New Roman" w:cs="Times New Roman" w:eastAsia="Times New Roman" w:hAnsi="Times New Roman"/>
          <w:b/>
          <w:bCs/>
          <w:sz w:val="24"/>
          <w:szCs w:val="24"/>
        </w:rPr>
        <w:t xml:space="preserve">Informe Parcial 3 del Plan de Ordenamiento Territorial (POT), Plan de Movilidad Urbana y Código de Planeamiento Urbano Rural de San Martín de los Andes</w:t>
      </w:r>
      <w:r>
        <w:rPr>
          <w:rFonts w:ascii="Times New Roman" w:cs="Times New Roman" w:eastAsia="Times New Roman" w:hAnsi="Times New Roman"/>
          <w:sz w:val="24"/>
          <w:szCs w:val="24"/>
        </w:rPr>
        <w:t xml:space="preserve">, elaborado por la Universidad Nacional de Villa María (UNVM) en el marco de la asistencia técnica del COPADE/CFI para el Municipio, con fecha marzo de 2026.</w:t>
      </w:r>
    </w:p>
    <w:p>
      <w:pPr>
        <w:spacing w:after="0" w:before="160"/>
        <w:jc w:val="both"/>
      </w:pPr>
      <w:r>
        <w:rPr>
          <w:rFonts w:ascii="Times New Roman" w:cs="Times New Roman" w:eastAsia="Times New Roman" w:hAnsi="Times New Roman"/>
          <w:sz w:val="24"/>
          <w:szCs w:val="24"/>
        </w:rPr>
        <w:t xml:space="preserve">El análisis aborda tres ejes normativos: el derecho ambiental de presupuestos mínimos y provincial, el procedimiento administrativo de la Provincia del Neuquén, y el régimen de autonomía y planificación municipal.</w:t>
      </w:r>
    </w:p>
    <w:p>
      <w:pPr>
        <w:spacing w:after="0" w:before="160"/>
        <w:jc w:val="both"/>
      </w:pPr>
      <w:r>
        <w:rPr>
          <w:rFonts w:ascii="Times New Roman" w:cs="Times New Roman" w:eastAsia="Times New Roman" w:hAnsi="Times New Roman"/>
          <w:sz w:val="24"/>
          <w:szCs w:val="24"/>
        </w:rPr>
        <w:t xml:space="preserve">La crítica no pretende invalidar el proceso de planificación en curso. Su objeto es señalar con precisión las deficiencias jurídicas que, de no subsanarse antes de la aprobación formal del instrumento, podrían acarrear la nulidad de los actos administrativos que lo implementen o fundar impugnaciones judiciales con base en la Ley General del Ambiente y el ordenamiento neuquino.</w:t>
      </w:r>
    </w:p>
    <w:p>
      <w:pPr>
        <w:spacing w:after="120" w:before="320"/>
        <w:jc w:val="left"/>
      </w:pPr>
      <w:r>
        <w:rPr>
          <w:rFonts w:ascii="Times New Roman" w:cs="Times New Roman" w:eastAsia="Times New Roman" w:hAnsi="Times New Roman"/>
          <w:b/>
          <w:bCs/>
          <w:caps/>
          <w:sz w:val="24"/>
          <w:szCs w:val="24"/>
        </w:rPr>
        <w:t xml:space="preserve">II. Marco normativo aplicable</w:t>
      </w:r>
    </w:p>
    <w:p>
      <w:pPr>
        <w:spacing w:after="80" w:before="240"/>
        <w:jc w:val="left"/>
      </w:pPr>
      <w:r>
        <w:rPr>
          <w:rFonts w:ascii="Times New Roman" w:cs="Times New Roman" w:eastAsia="Times New Roman" w:hAnsi="Times New Roman"/>
          <w:b/>
          <w:bCs/>
          <w:sz w:val="24"/>
          <w:szCs w:val="24"/>
        </w:rPr>
        <w:t xml:space="preserve">A. Constitucional y de presupuestos mínimos nacionales</w:t>
      </w:r>
    </w:p>
    <w:p>
      <w:pPr>
        <w:spacing w:after="0" w:before="160"/>
        <w:jc w:val="both"/>
      </w:pPr>
      <w:r>
        <w:rPr>
          <w:rFonts w:ascii="Times New Roman" w:cs="Times New Roman" w:eastAsia="Times New Roman" w:hAnsi="Times New Roman"/>
          <w:sz w:val="24"/>
          <w:szCs w:val="24"/>
        </w:rPr>
        <w:t xml:space="preserve">La Constitución Nacional establece en su artículo 41 el derecho de todos los habitantes a un ambiente sano y el deber de recomposición del daño ambiental, y habilita al Congreso a dictar normas de presupuestos mínimos de protección. El artículo 75 inciso 17 garantiza la participación de los pueblos indígenas en la gestión de sus recursos naturales y el derecho a la consulta previa ante medidas que los afecten.</w:t>
      </w:r>
    </w:p>
    <w:p>
      <w:pPr>
        <w:spacing w:after="0" w:before="160"/>
        <w:jc w:val="both"/>
      </w:pPr>
      <w:r>
        <w:rPr>
          <w:rFonts w:ascii="Times New Roman" w:cs="Times New Roman" w:eastAsia="Times New Roman" w:hAnsi="Times New Roman"/>
          <w:sz w:val="24"/>
          <w:szCs w:val="24"/>
        </w:rPr>
        <w:t xml:space="preserve">La </w:t>
      </w:r>
      <w:r>
        <w:rPr>
          <w:rFonts w:ascii="Times New Roman" w:cs="Times New Roman" w:eastAsia="Times New Roman" w:hAnsi="Times New Roman"/>
          <w:b/>
          <w:bCs/>
          <w:sz w:val="24"/>
          <w:szCs w:val="24"/>
        </w:rPr>
        <w:t xml:space="preserve">Ley Nacional 25.675 (Ley General del Ambiente — LGA)</w:t>
      </w:r>
      <w:r>
        <w:rPr>
          <w:rFonts w:ascii="Times New Roman" w:cs="Times New Roman" w:eastAsia="Times New Roman" w:hAnsi="Times New Roman"/>
          <w:sz w:val="24"/>
          <w:szCs w:val="24"/>
        </w:rPr>
        <w:t xml:space="preserve"> establece los principios de prevención, precaución, participación y no regresión (art. 4°), impone la evaluación de impacto ambiental como instrumento obligatorio (arts. 11-13), garantiza la participación ciudadana en procedimientos administrativos vinculados al ambiente (arts. 19-21) y habilita la acción de recomposición y el amparo ambiental (arts. 28-30).</w:t>
      </w:r>
    </w:p>
    <w:p>
      <w:pPr>
        <w:spacing w:after="0" w:before="160"/>
        <w:jc w:val="both"/>
      </w:pPr>
      <w:r>
        <w:rPr>
          <w:rFonts w:ascii="Times New Roman" w:cs="Times New Roman" w:eastAsia="Times New Roman" w:hAnsi="Times New Roman"/>
          <w:sz w:val="24"/>
          <w:szCs w:val="24"/>
        </w:rPr>
        <w:t xml:space="preserve">Complementan ese bloque la </w:t>
      </w:r>
      <w:r>
        <w:rPr>
          <w:rFonts w:ascii="Times New Roman" w:cs="Times New Roman" w:eastAsia="Times New Roman" w:hAnsi="Times New Roman"/>
          <w:b/>
          <w:bCs/>
          <w:sz w:val="24"/>
          <w:szCs w:val="24"/>
        </w:rPr>
        <w:t xml:space="preserve">Ley 25.831</w:t>
      </w:r>
      <w:r>
        <w:rPr>
          <w:rFonts w:ascii="Times New Roman" w:cs="Times New Roman" w:eastAsia="Times New Roman" w:hAnsi="Times New Roman"/>
          <w:sz w:val="24"/>
          <w:szCs w:val="24"/>
        </w:rPr>
        <w:t xml:space="preserve"> de libre acceso a la información pública ambiental; la </w:t>
      </w:r>
      <w:r>
        <w:rPr>
          <w:rFonts w:ascii="Times New Roman" w:cs="Times New Roman" w:eastAsia="Times New Roman" w:hAnsi="Times New Roman"/>
          <w:b/>
          <w:bCs/>
          <w:sz w:val="24"/>
          <w:szCs w:val="24"/>
        </w:rPr>
        <w:t xml:space="preserve">Ley 26.331</w:t>
      </w:r>
      <w:r>
        <w:rPr>
          <w:rFonts w:ascii="Times New Roman" w:cs="Times New Roman" w:eastAsia="Times New Roman" w:hAnsi="Times New Roman"/>
          <w:sz w:val="24"/>
          <w:szCs w:val="24"/>
        </w:rPr>
        <w:t xml:space="preserve"> de presupuestos mínimos de protección de bosques nativos, aplicable a la interfaz con el Parque Nacional Lanín; la </w:t>
      </w:r>
      <w:r>
        <w:rPr>
          <w:rFonts w:ascii="Times New Roman" w:cs="Times New Roman" w:eastAsia="Times New Roman" w:hAnsi="Times New Roman"/>
          <w:b/>
          <w:bCs/>
          <w:sz w:val="24"/>
          <w:szCs w:val="24"/>
        </w:rPr>
        <w:t xml:space="preserve">Ley 22.351</w:t>
      </w:r>
      <w:r>
        <w:rPr>
          <w:rFonts w:ascii="Times New Roman" w:cs="Times New Roman" w:eastAsia="Times New Roman" w:hAnsi="Times New Roman"/>
          <w:sz w:val="24"/>
          <w:szCs w:val="24"/>
        </w:rPr>
        <w:t xml:space="preserve"> de Parques Nacionales; y el </w:t>
      </w:r>
      <w:r>
        <w:rPr>
          <w:rFonts w:ascii="Times New Roman" w:cs="Times New Roman" w:eastAsia="Times New Roman" w:hAnsi="Times New Roman"/>
          <w:b/>
          <w:bCs/>
          <w:sz w:val="24"/>
          <w:szCs w:val="24"/>
        </w:rPr>
        <w:t xml:space="preserve">Convenio 169 OIT</w:t>
      </w:r>
      <w:r>
        <w:rPr>
          <w:rFonts w:ascii="Times New Roman" w:cs="Times New Roman" w:eastAsia="Times New Roman" w:hAnsi="Times New Roman"/>
          <w:sz w:val="24"/>
          <w:szCs w:val="24"/>
        </w:rPr>
        <w:t xml:space="preserve">, aprobado por Ley 24.071, que consagra el derecho de los pueblos indígenas a la consulta previa, libre e informada.</w:t>
      </w:r>
    </w:p>
    <w:p>
      <w:pPr>
        <w:spacing w:after="80" w:before="240"/>
        <w:jc w:val="left"/>
      </w:pPr>
      <w:r>
        <w:rPr>
          <w:rFonts w:ascii="Times New Roman" w:cs="Times New Roman" w:eastAsia="Times New Roman" w:hAnsi="Times New Roman"/>
          <w:b/>
          <w:bCs/>
          <w:sz w:val="24"/>
          <w:szCs w:val="24"/>
        </w:rPr>
        <w:t xml:space="preserve">B. Normativa provincial</w:t>
      </w:r>
    </w:p>
    <w:p>
      <w:pPr>
        <w:spacing w:after="0" w:before="160"/>
        <w:jc w:val="both"/>
      </w:pPr>
      <w:r>
        <w:rPr>
          <w:rFonts w:ascii="Times New Roman" w:cs="Times New Roman" w:eastAsia="Times New Roman" w:hAnsi="Times New Roman"/>
          <w:sz w:val="24"/>
          <w:szCs w:val="24"/>
        </w:rPr>
        <w:t xml:space="preserve">Los artículos 52 y 53 de la </w:t>
      </w:r>
      <w:r>
        <w:rPr>
          <w:rFonts w:ascii="Times New Roman" w:cs="Times New Roman" w:eastAsia="Times New Roman" w:hAnsi="Times New Roman"/>
          <w:b/>
          <w:bCs/>
          <w:sz w:val="24"/>
          <w:szCs w:val="24"/>
        </w:rPr>
        <w:t xml:space="preserve">Constitución de Neuquén</w:t>
      </w:r>
      <w:r>
        <w:rPr>
          <w:rFonts w:ascii="Times New Roman" w:cs="Times New Roman" w:eastAsia="Times New Roman" w:hAnsi="Times New Roman"/>
          <w:sz w:val="24"/>
          <w:szCs w:val="24"/>
        </w:rPr>
        <w:t xml:space="preserve"> consagran la protección ambiental como deber del Estado y como derecho ciudadano subjetivo. La </w:t>
      </w:r>
      <w:r>
        <w:rPr>
          <w:rFonts w:ascii="Times New Roman" w:cs="Times New Roman" w:eastAsia="Times New Roman" w:hAnsi="Times New Roman"/>
          <w:b/>
          <w:bCs/>
          <w:sz w:val="24"/>
          <w:szCs w:val="24"/>
        </w:rPr>
        <w:t xml:space="preserve">Ley 1875 (T.O. Ley 2267)</w:t>
      </w:r>
      <w:r>
        <w:rPr>
          <w:rFonts w:ascii="Times New Roman" w:cs="Times New Roman" w:eastAsia="Times New Roman" w:hAnsi="Times New Roman"/>
          <w:sz w:val="24"/>
          <w:szCs w:val="24"/>
        </w:rPr>
        <w:t xml:space="preserve"> exige declaración de impacto ambiental previa para todo emprendimiento u obra que pueda alterar el ambiente (art. 24°); su Decreto Reglamentario 2656/99 regula el procedimiento de EIA con los contenidos mínimos fijados en los Anexos III, IV y V.</w:t>
      </w:r>
    </w:p>
    <w:p>
      <w:pPr>
        <w:spacing w:after="0" w:before="160"/>
        <w:jc w:val="both"/>
      </w:pPr>
      <w:r>
        <w:rPr>
          <w:rFonts w:ascii="Times New Roman" w:cs="Times New Roman" w:eastAsia="Times New Roman" w:hAnsi="Times New Roman"/>
          <w:sz w:val="24"/>
          <w:szCs w:val="24"/>
        </w:rPr>
        <w:t xml:space="preserve">La </w:t>
      </w:r>
      <w:r>
        <w:rPr>
          <w:rFonts w:ascii="Times New Roman" w:cs="Times New Roman" w:eastAsia="Times New Roman" w:hAnsi="Times New Roman"/>
          <w:b/>
          <w:bCs/>
          <w:sz w:val="24"/>
          <w:szCs w:val="24"/>
        </w:rPr>
        <w:t xml:space="preserve">Ley 1284 (Procedimiento Administrativo de Neuquén)</w:t>
      </w:r>
      <w:r>
        <w:rPr>
          <w:rFonts w:ascii="Times New Roman" w:cs="Times New Roman" w:eastAsia="Times New Roman" w:hAnsi="Times New Roman"/>
          <w:sz w:val="24"/>
          <w:szCs w:val="24"/>
        </w:rPr>
        <w:t xml:space="preserve"> exige dictamen jurídico previo a todo acto administrativo de alcance general (art. 50°) y clasifica los vicios en anulables, nulos e inexistentes según su gravedad (arts. 70-72). La </w:t>
      </w:r>
      <w:r>
        <w:rPr>
          <w:rFonts w:ascii="Times New Roman" w:cs="Times New Roman" w:eastAsia="Times New Roman" w:hAnsi="Times New Roman"/>
          <w:b/>
          <w:bCs/>
          <w:sz w:val="24"/>
          <w:szCs w:val="24"/>
        </w:rPr>
        <w:t xml:space="preserve">Ley 2615</w:t>
      </w:r>
      <w:r>
        <w:rPr>
          <w:rFonts w:ascii="Times New Roman" w:cs="Times New Roman" w:eastAsia="Times New Roman" w:hAnsi="Times New Roman"/>
          <w:sz w:val="24"/>
          <w:szCs w:val="24"/>
        </w:rPr>
        <w:t xml:space="preserve"> regula el uso del suelo y el desarrollo territorial. La </w:t>
      </w:r>
      <w:r>
        <w:rPr>
          <w:rFonts w:ascii="Times New Roman" w:cs="Times New Roman" w:eastAsia="Times New Roman" w:hAnsi="Times New Roman"/>
          <w:b/>
          <w:bCs/>
          <w:sz w:val="24"/>
          <w:szCs w:val="24"/>
        </w:rPr>
        <w:t xml:space="preserve">Ley Provincial 2.780 (OTBN Neuquén)</w:t>
      </w:r>
      <w:r>
        <w:rPr>
          <w:rFonts w:ascii="Times New Roman" w:cs="Times New Roman" w:eastAsia="Times New Roman" w:hAnsi="Times New Roman"/>
          <w:sz w:val="24"/>
          <w:szCs w:val="24"/>
        </w:rPr>
        <w:t xml:space="preserve"> establece el Ordenamiento Territorial de Bosques Nativos en tres categorías: I (Rojo, máxima protección), II (Amarillo, uso restringido) y III (Verde, transformación bajo condiciones estrictas). Se trata de una norma de orden público, vinculante para todos los organismos estatales de la Provincia.</w:t>
      </w:r>
    </w:p>
    <w:p>
      <w:pPr>
        <w:spacing w:after="80" w:before="240"/>
        <w:jc w:val="left"/>
      </w:pPr>
      <w:r>
        <w:rPr>
          <w:rFonts w:ascii="Times New Roman" w:cs="Times New Roman" w:eastAsia="Times New Roman" w:hAnsi="Times New Roman"/>
          <w:b/>
          <w:bCs/>
          <w:sz w:val="24"/>
          <w:szCs w:val="24"/>
        </w:rPr>
        <w:t xml:space="preserve">C. Normativa municipal</w:t>
      </w:r>
    </w:p>
    <w:p>
      <w:pPr>
        <w:spacing w:after="0" w:before="160"/>
        <w:jc w:val="both"/>
      </w:pPr>
      <w:r>
        <w:rPr>
          <w:rFonts w:ascii="Times New Roman" w:cs="Times New Roman" w:eastAsia="Times New Roman" w:hAnsi="Times New Roman"/>
          <w:sz w:val="24"/>
          <w:szCs w:val="24"/>
        </w:rPr>
        <w:t xml:space="preserve">La </w:t>
      </w:r>
      <w:r>
        <w:rPr>
          <w:rFonts w:ascii="Times New Roman" w:cs="Times New Roman" w:eastAsia="Times New Roman" w:hAnsi="Times New Roman"/>
          <w:b/>
          <w:bCs/>
          <w:sz w:val="24"/>
          <w:szCs w:val="24"/>
        </w:rPr>
        <w:t xml:space="preserve">Ordenanza N° 1584/94</w:t>
      </w:r>
      <w:r>
        <w:rPr>
          <w:rFonts w:ascii="Times New Roman" w:cs="Times New Roman" w:eastAsia="Times New Roman" w:hAnsi="Times New Roman"/>
          <w:sz w:val="24"/>
          <w:szCs w:val="24"/>
        </w:rPr>
        <w:t xml:space="preserve"> regula la EIA local y somete a procedimiento toda acción con incidencia ambiental en el ejido, requiriendo intervención de la UTGA e, impactos de gran magnitud mediante, la tramitación de un Estudio de Evaluación de Impacto Ambiental con participación ciudadana previa (arts. 8, 9, 17 y 19-22). La </w:t>
      </w:r>
      <w:r>
        <w:rPr>
          <w:rFonts w:ascii="Times New Roman" w:cs="Times New Roman" w:eastAsia="Times New Roman" w:hAnsi="Times New Roman"/>
          <w:b/>
          <w:bCs/>
          <w:sz w:val="24"/>
          <w:szCs w:val="24"/>
        </w:rPr>
        <w:t xml:space="preserve">Ordenanza N° 1723/2005</w:t>
      </w:r>
      <w:r>
        <w:rPr>
          <w:rFonts w:ascii="Times New Roman" w:cs="Times New Roman" w:eastAsia="Times New Roman" w:hAnsi="Times New Roman"/>
          <w:sz w:val="24"/>
          <w:szCs w:val="24"/>
        </w:rPr>
        <w:t xml:space="preserve"> declara patrimonio ambiental y cultural la Reserva Matadero Municipal y la Reserva Natural y Paisajística del Centenario. La </w:t>
      </w:r>
      <w:r>
        <w:rPr>
          <w:rFonts w:ascii="Times New Roman" w:cs="Times New Roman" w:eastAsia="Times New Roman" w:hAnsi="Times New Roman"/>
          <w:b/>
          <w:bCs/>
          <w:sz w:val="24"/>
          <w:szCs w:val="24"/>
        </w:rPr>
        <w:t xml:space="preserve">Ordenanza N° 8390/09</w:t>
      </w:r>
      <w:r>
        <w:rPr>
          <w:rFonts w:ascii="Times New Roman" w:cs="Times New Roman" w:eastAsia="Times New Roman" w:hAnsi="Times New Roman"/>
          <w:sz w:val="24"/>
          <w:szCs w:val="24"/>
        </w:rPr>
        <w:t xml:space="preserve"> confiere protección especial a la Vega Plana.</w:t>
      </w:r>
    </w:p>
    <w:p>
      <w:pPr>
        <w:spacing w:after="120" w:before="320"/>
        <w:jc w:val="left"/>
      </w:pPr>
      <w:r>
        <w:rPr>
          <w:rFonts w:ascii="Times New Roman" w:cs="Times New Roman" w:eastAsia="Times New Roman" w:hAnsi="Times New Roman"/>
          <w:b/>
          <w:bCs/>
          <w:caps/>
          <w:sz w:val="24"/>
          <w:szCs w:val="24"/>
        </w:rPr>
        <w:t xml:space="preserve">III. Deficiencias jurídicas identificadas</w:t>
      </w:r>
    </w:p>
    <w:p>
      <w:pPr>
        <w:spacing w:after="80" w:before="240"/>
        <w:jc w:val="left"/>
      </w:pPr>
      <w:r>
        <w:rPr>
          <w:rFonts w:ascii="Times New Roman" w:cs="Times New Roman" w:eastAsia="Times New Roman" w:hAnsi="Times New Roman"/>
          <w:b/>
          <w:bCs/>
          <w:sz w:val="24"/>
          <w:szCs w:val="24"/>
        </w:rPr>
        <w:t xml:space="preserve">III.1. Ausencia de Evaluación Ambiental Estratégica</w:t>
      </w:r>
    </w:p>
    <w:p>
      <w:pPr>
        <w:spacing w:after="0" w:before="160"/>
        <w:jc w:val="both"/>
      </w:pPr>
      <w:r>
        <w:rPr>
          <w:rFonts w:ascii="Times New Roman" w:cs="Times New Roman" w:eastAsia="Times New Roman" w:hAnsi="Times New Roman"/>
          <w:sz w:val="24"/>
          <w:szCs w:val="24"/>
        </w:rPr>
        <w:t xml:space="preserve">El Informe Parcial 3 es la etapa donde cristalizan las decisiones territoriales de mayor escala y permanencia del Plan. Sin embargo, no acredita la realización de una Evaluación Ambiental Estratégica (EAE) sobre el instrumento en su conjunto. Se limita a prever evaluaciones de impacto ambiental para proyectos individuales en etapas posteriores, lo que invierte el orden lógico y jurídico: la EAE debe preceder al Plan, no derivarse de él.</w:t>
      </w:r>
    </w:p>
    <w:p>
      <w:pPr>
        <w:spacing w:after="0" w:before="160"/>
        <w:jc w:val="both"/>
      </w:pPr>
      <w:r>
        <w:rPr>
          <w:rFonts w:ascii="Times New Roman" w:cs="Times New Roman" w:eastAsia="Times New Roman" w:hAnsi="Times New Roman"/>
          <w:sz w:val="24"/>
          <w:szCs w:val="24"/>
        </w:rPr>
        <w:t xml:space="preserve">El propio Informe reconoce que "la velocidad de desarrollo de la ciudad, transformando tierra natural o rural en suelo urbano, representa el mayor impacto sobre el ambiente" (pág. 12), y proyecta 19.000 nuevas viviendas al año 2040. Esa escala de transformación del suelo exige evaluación ambiental previa en la fase de planificación.</w:t>
      </w:r>
    </w:p>
    <w:p>
      <w:pPr>
        <w:spacing w:after="0" w:before="160"/>
        <w:jc w:val="both"/>
      </w:pPr>
      <w:r>
        <w:rPr>
          <w:rFonts w:ascii="Times New Roman" w:cs="Times New Roman" w:eastAsia="Times New Roman" w:hAnsi="Times New Roman"/>
          <w:sz w:val="24"/>
          <w:szCs w:val="24"/>
        </w:rPr>
        <w:t xml:space="preserve">La LGA no menciona expresamente la EAE. Pero la lectura integrada del artículo 11° —que somete a EIA toda obra o actividad susceptible de degradar el ambiente— con los principios de prevención y precaución del artículo 4°, con el artículo 8° que incluye el ordenamiento ambiental del territorio entre los instrumentos de la política ambiental, y con el artículo 21° que exige participación ciudadana en los planes de ordenamiento, lleva necesariamente a esa conclusión. Así lo sostiene la doctrina especializada de manera uniforme: Colombo (Microjuris Argentina al Día, MJ-DOC-12371-AR, 2018), Bibiloni (</w:t>
      </w:r>
      <w:r>
        <w:rPr>
          <w:rFonts w:ascii="Times New Roman" w:cs="Times New Roman" w:eastAsia="Times New Roman" w:hAnsi="Times New Roman"/>
          <w:i/>
          <w:iCs/>
          <w:sz w:val="24"/>
          <w:szCs w:val="24"/>
        </w:rPr>
        <w:t xml:space="preserve">Revista Estado y Políticas Públicas</w:t>
      </w:r>
      <w:r>
        <w:rPr>
          <w:rFonts w:ascii="Times New Roman" w:cs="Times New Roman" w:eastAsia="Times New Roman" w:hAnsi="Times New Roman"/>
          <w:sz w:val="24"/>
          <w:szCs w:val="24"/>
        </w:rPr>
        <w:t xml:space="preserve"> N° 17, FLACSO, 2021-2022) y Walsh (Actas FAOS, 2009). En el plano provincial, el artículo 24° de la Ley 1875 confirma la obligación al someter a declaración de impacto ambiental previa todo emprendimiento que pueda alterar el ambiente, sin distinguir entre proyectos individuales y planes de escala superior.</w:t>
      </w:r>
    </w:p>
    <w:p>
      <w:pPr>
        <w:spacing w:after="0" w:before="160"/>
        <w:jc w:val="both"/>
      </w:pPr>
      <w:r>
        <w:rPr>
          <w:rFonts w:ascii="Times New Roman" w:cs="Times New Roman" w:eastAsia="Times New Roman" w:hAnsi="Times New Roman"/>
          <w:sz w:val="24"/>
          <w:szCs w:val="24"/>
        </w:rPr>
        <w:t xml:space="preserve">La Corte Suprema de Justicia de la Nación estableció en el caso </w:t>
      </w:r>
      <w:r>
        <w:rPr>
          <w:rFonts w:ascii="Times New Roman" w:cs="Times New Roman" w:eastAsia="Times New Roman" w:hAnsi="Times New Roman"/>
          <w:i/>
          <w:iCs/>
          <w:sz w:val="24"/>
          <w:szCs w:val="24"/>
        </w:rPr>
        <w:t xml:space="preserve">Salas, Dino y otros c/ Salta, Provincia de y Estado Nacional</w:t>
      </w:r>
      <w:r>
        <w:rPr>
          <w:rFonts w:ascii="Times New Roman" w:cs="Times New Roman" w:eastAsia="Times New Roman" w:hAnsi="Times New Roman"/>
          <w:sz w:val="24"/>
          <w:szCs w:val="24"/>
        </w:rPr>
        <w:t xml:space="preserve"> (26/03/2009, Fallos: 332:663) que no se cumple con la ley ambiental cuando se otorgan autorizaciones sin conocer el efecto acumulativo de las mismas. En ese precedente, impuso la realización de un estudio de impacto acumulativo con carácter previo a la continuidad de autorizaciones individuales de desmonte, aunque cada una contara con su propia EIA. El mismo razonamiento es directamente trasladable a un POT que habilita, de modo agregado, una transformación masiva del suelo sin evaluación estratégica previa.</w:t>
      </w:r>
    </w:p>
    <w:p>
      <w:pPr>
        <w:spacing w:after="40" w:before="100"/>
        <w:ind w:left="720" w:right="720"/>
        <w:jc w:val="both"/>
      </w:pPr>
      <w:r>
        <w:rPr>
          <w:rFonts w:ascii="Times New Roman" w:cs="Times New Roman" w:eastAsia="Times New Roman" w:hAnsi="Times New Roman"/>
          <w:i/>
          <w:iCs/>
          <w:sz w:val="22"/>
          <w:szCs w:val="22"/>
        </w:rPr>
        <w:t xml:space="preserve">"El principio precautorio produce una obligación de previsión extendida y anticipatoria a cargo del funcionario público. Por lo tanto, no se cumple con la ley si se otorgan autorizaciones sin conocer el efecto."</w:t>
      </w:r>
    </w:p>
    <w:p>
      <w:pPr>
        <w:spacing w:after="100" w:before="0"/>
        <w:ind w:right="720"/>
        <w:jc w:val="right"/>
      </w:pPr>
      <w:r>
        <w:rPr>
          <w:rFonts w:ascii="Times New Roman" w:cs="Times New Roman" w:eastAsia="Times New Roman" w:hAnsi="Times New Roman"/>
          <w:i/>
          <w:iCs/>
          <w:sz w:val="20"/>
          <w:szCs w:val="20"/>
        </w:rPr>
        <w:t xml:space="preserve">CSJN, Fallos: 332:663, consid. 2°.</w:t>
      </w:r>
    </w:p>
    <w:p>
      <w:pPr>
        <w:spacing w:after="0" w:before="160"/>
        <w:jc w:val="both"/>
      </w:pPr>
      <w:r>
        <w:rPr>
          <w:rFonts w:ascii="Times New Roman" w:cs="Times New Roman" w:eastAsia="Times New Roman" w:hAnsi="Times New Roman"/>
          <w:sz w:val="24"/>
          <w:szCs w:val="24"/>
        </w:rPr>
        <w:t xml:space="preserve">La aprobación de un POT sin EAE previa podría tacharse de nula por vicio en el elemento causal (arts. 70-72, Ley 1284 NQN), al carecer de la motivación ambiental exigida por la normativa de fondo. Habilitaría además la acción de amparo ambiental del artículo 30 LGA, de naturaleza preventiva, sin necesidad de acreditar daño consumado.</w:t>
      </w:r>
    </w:p>
    <w:p>
      <w:pPr>
        <w:spacing w:after="80" w:before="240"/>
        <w:jc w:val="left"/>
      </w:pPr>
      <w:r>
        <w:rPr>
          <w:rFonts w:ascii="Times New Roman" w:cs="Times New Roman" w:eastAsia="Times New Roman" w:hAnsi="Times New Roman"/>
          <w:b/>
          <w:bCs/>
          <w:sz w:val="24"/>
          <w:szCs w:val="24"/>
        </w:rPr>
        <w:t xml:space="preserve">III.2. Participación ciudadana incompleta</w:t>
      </w:r>
    </w:p>
    <w:p>
      <w:pPr>
        <w:spacing w:after="0" w:before="160"/>
        <w:jc w:val="both"/>
      </w:pPr>
      <w:r>
        <w:rPr>
          <w:rFonts w:ascii="Times New Roman" w:cs="Times New Roman" w:eastAsia="Times New Roman" w:hAnsi="Times New Roman"/>
          <w:sz w:val="24"/>
          <w:szCs w:val="24"/>
        </w:rPr>
        <w:t xml:space="preserve">El propio Informe reconoce en su página introductoria que "queda pendiente la validación de la etapa de implementación del Plan, tanto en relación a las observaciones que los referentes locales y de la provincia elaboren respecto de la presente entrega, como de la realización de las instancias participativas previstas con los actores locales". La etapa de participación (Tarea 12) documenta únicamente la presentación del Informe II entre el 11 y el 22 de febrero de 2026. No se acreditan instancias de consulta correspondientes a la etapa de propuesta, que es precisamente el contenido del Informe Parcial 3.</w:t>
      </w:r>
    </w:p>
    <w:p>
      <w:pPr>
        <w:spacing w:after="0" w:before="160"/>
        <w:jc w:val="both"/>
      </w:pPr>
      <w:r>
        <w:rPr>
          <w:rFonts w:ascii="Times New Roman" w:cs="Times New Roman" w:eastAsia="Times New Roman" w:hAnsi="Times New Roman"/>
          <w:sz w:val="24"/>
          <w:szCs w:val="24"/>
        </w:rPr>
        <w:t xml:space="preserve">El artículo 21 LGA dispone que la participación ciudadana "deberá asegurarse, principalmente, en los procedimientos de evaluación de impacto ambiental y en los planes y programas de ordenamiento ambiental del territorio, en particular, en las etapas de planificación y evaluación de resultados". Los artículos 19 y 20 LGA garantizan el derecho a ser consultado y obligan a institucionalizar audiencias públicas. En el plano local, los artículos 19-22 de la Ordenanza 1584/94 condicionan la aprobación de todo plan o proyecto de gran impacto ambiental a la tramitación de la Declaración Ambiental con participación ciudadana previa. Esas instancias no pueden suplirse con consultas posteriores a la aprobación.</w:t>
      </w:r>
    </w:p>
    <w:p>
      <w:pPr>
        <w:spacing w:after="0" w:before="160"/>
        <w:jc w:val="both"/>
      </w:pPr>
      <w:r>
        <w:rPr>
          <w:rFonts w:ascii="Times New Roman" w:cs="Times New Roman" w:eastAsia="Times New Roman" w:hAnsi="Times New Roman"/>
          <w:sz w:val="24"/>
          <w:szCs w:val="24"/>
        </w:rPr>
        <w:t xml:space="preserve">La Corte Suprema resolvió en el caso </w:t>
      </w:r>
      <w:r>
        <w:rPr>
          <w:rFonts w:ascii="Times New Roman" w:cs="Times New Roman" w:eastAsia="Times New Roman" w:hAnsi="Times New Roman"/>
          <w:i/>
          <w:iCs/>
          <w:sz w:val="24"/>
          <w:szCs w:val="24"/>
        </w:rPr>
        <w:t xml:space="preserve">Mamani, Agustín Pío y otros c/ Estado Provincial — Dirección Provincial de Políticas Ambientales y Recursos Naturales de Jujuy y la Empresa Cram S.A.</w:t>
      </w:r>
      <w:r>
        <w:rPr>
          <w:rFonts w:ascii="Times New Roman" w:cs="Times New Roman" w:eastAsia="Times New Roman" w:hAnsi="Times New Roman"/>
          <w:sz w:val="24"/>
          <w:szCs w:val="24"/>
        </w:rPr>
        <w:t xml:space="preserve"> (05/09/2017, Fallos: 340:1193, CSJ 318/2014) declarar directamente la nulidad de las resoluciones que habían autorizado el desmonte de 1.470 hectáreas en la Provincia de Jujuy. El fundamento fue la existencia de irregularidades graves en el procedimiento de EIA, que incluían la omisión de participación ciudadana, el no sometimiento del estudio a control ciudadano y la discordancia entre la superficie autorizada y la evaluada. La Corte aplicó el principio precautorio sin exigir la acreditación de daño consumado, y ejerció competencia positiva para resolver el fondo. El criterio es directamente trasladable a este caso: un POT es un "plan de ordenamiento ambiental del territorio" en los términos del artículo 21 LGA, y la omisión de las instancias participativas previstas constituye un vicio que, de persistir al momento de la aprobación formal, acarrea la nulidad retroactiva del acto conforme al artículo 72 de la Ley 1284.</w:t>
      </w:r>
    </w:p>
    <w:p>
      <w:pPr>
        <w:spacing w:after="80" w:before="240"/>
        <w:jc w:val="left"/>
      </w:pPr>
      <w:r>
        <w:rPr>
          <w:rFonts w:ascii="Times New Roman" w:cs="Times New Roman" w:eastAsia="Times New Roman" w:hAnsi="Times New Roman"/>
          <w:b/>
          <w:bCs/>
          <w:sz w:val="24"/>
          <w:szCs w:val="24"/>
        </w:rPr>
        <w:t xml:space="preserve">III.3. Propuesta sobre la Vega Plana</w:t>
      </w:r>
    </w:p>
    <w:p>
      <w:pPr>
        <w:spacing w:after="0" w:before="160"/>
        <w:jc w:val="both"/>
      </w:pPr>
      <w:r>
        <w:rPr>
          <w:rFonts w:ascii="Times New Roman" w:cs="Times New Roman" w:eastAsia="Times New Roman" w:hAnsi="Times New Roman"/>
          <w:sz w:val="24"/>
          <w:szCs w:val="24"/>
        </w:rPr>
        <w:t xml:space="preserve">El Informe propone la creación de un "Parque Natural Urbano de la Vega Plana" con gestión mixta público-privada, financiada mediante cesiones de desarrolladores inmobiliarios. Esta propuesta opera sobre una zona que ya cuenta con régimen de protección especial establecido por la Ordenanza 8390/09. La Vega Plana es un humedal de montaña cuya tutela fue decidida por el Concejo Municipal mediante ese instrumento normativo. Ese régimen no puede ser modificado por vía de un plan técnico elaborado por una consultora externa, con independencia de la calidad del trabajo.</w:t>
      </w:r>
    </w:p>
    <w:p>
      <w:pPr>
        <w:spacing w:after="0" w:before="160"/>
        <w:jc w:val="both"/>
      </w:pPr>
      <w:r>
        <w:rPr>
          <w:rFonts w:ascii="Times New Roman" w:cs="Times New Roman" w:eastAsia="Times New Roman" w:hAnsi="Times New Roman"/>
          <w:sz w:val="24"/>
          <w:szCs w:val="24"/>
        </w:rPr>
        <w:t xml:space="preserve">Todo convenio de gestión privada sobre la Vega Plana que no esté precedido por tres condiciones concurrentes —modificación expresa de la Ordenanza 8390/09 por el Concejo Municipal, EIA completa con audiencia pública conforme a la Ordenanza 1584/94, y Declaración Ambiental por Resolución Conjunta del Ejecutivo y el Concejo— es nulo de nulidad absoluta por vicio de incompetencia y violación de norma imperativa (art. 71, Ley 1284). El principio de no regresión ambiental, que emana del artículo 4° LGA y que la doctrina y jurisprudencia reconocen como parámetro de validez de los actos estatales en materia ambiental, veda además cualquier medida que disminuya los niveles de protección ya alcanzados.</w:t>
      </w:r>
    </w:p>
    <w:p>
      <w:pPr>
        <w:spacing w:after="80" w:before="240"/>
        <w:jc w:val="left"/>
      </w:pPr>
      <w:r>
        <w:rPr>
          <w:rFonts w:ascii="Times New Roman" w:cs="Times New Roman" w:eastAsia="Times New Roman" w:hAnsi="Times New Roman"/>
          <w:b/>
          <w:bCs/>
          <w:sz w:val="24"/>
          <w:szCs w:val="24"/>
        </w:rPr>
        <w:t xml:space="preserve">III.4. Instrumentos urbanísticos sin respaldo normativo</w:t>
      </w:r>
    </w:p>
    <w:p>
      <w:pPr>
        <w:spacing w:after="0" w:before="160"/>
        <w:jc w:val="both"/>
      </w:pPr>
      <w:r>
        <w:rPr>
          <w:rFonts w:ascii="Times New Roman" w:cs="Times New Roman" w:eastAsia="Times New Roman" w:hAnsi="Times New Roman"/>
          <w:sz w:val="24"/>
          <w:szCs w:val="24"/>
        </w:rPr>
        <w:t xml:space="preserve">La Tarea 9 del Informe presenta catorce instrumentos urbanísticos (págs. 51-59). Varios de ellos carecen de respaldo en normativa vigente o requieren modificaciones legislativas previas para poder operar. Esto no es un problema menor: en la medida en que el Plan se apruebe y pretenda implementarse mediante esos instrumentos, los actos que se dicten al amparo de ellos serán susceptibles de nulidad.</w:t>
      </w:r>
    </w:p>
    <w:p>
      <w:pPr>
        <w:spacing w:after="0" w:before="160"/>
        <w:jc w:val="both"/>
      </w:pPr>
      <w:r>
        <w:rPr>
          <w:rFonts w:ascii="Times New Roman" w:cs="Times New Roman" w:eastAsia="Times New Roman" w:hAnsi="Times New Roman"/>
          <w:sz w:val="24"/>
          <w:szCs w:val="24"/>
        </w:rPr>
        <w:t xml:space="preserve">La </w:t>
      </w:r>
      <w:r>
        <w:rPr>
          <w:rFonts w:ascii="Times New Roman" w:cs="Times New Roman" w:eastAsia="Times New Roman" w:hAnsi="Times New Roman"/>
          <w:i/>
          <w:iCs/>
          <w:sz w:val="24"/>
          <w:szCs w:val="24"/>
        </w:rPr>
        <w:t xml:space="preserve">Transferencia de Capacidad Constructiva</w:t>
      </w:r>
      <w:r>
        <w:rPr>
          <w:rFonts w:ascii="Times New Roman" w:cs="Times New Roman" w:eastAsia="Times New Roman" w:hAnsi="Times New Roman"/>
          <w:sz w:val="24"/>
          <w:szCs w:val="24"/>
        </w:rPr>
        <w:t xml:space="preserve"> sólo puede funcionar si existe una ordenanza municipal que defina predios emisores y receptores, índices de transferencia y garantías de reversibilidad; en San Martín de los Andes esa norma no existe. La llamada </w:t>
      </w:r>
      <w:r>
        <w:rPr>
          <w:rFonts w:ascii="Times New Roman" w:cs="Times New Roman" w:eastAsia="Times New Roman" w:hAnsi="Times New Roman"/>
          <w:i/>
          <w:iCs/>
          <w:sz w:val="24"/>
          <w:szCs w:val="24"/>
        </w:rPr>
        <w:t xml:space="preserve">Usucapión Administrativa</w:t>
      </w:r>
      <w:r>
        <w:rPr>
          <w:rFonts w:ascii="Times New Roman" w:cs="Times New Roman" w:eastAsia="Times New Roman" w:hAnsi="Times New Roman"/>
          <w:sz w:val="24"/>
          <w:szCs w:val="24"/>
        </w:rPr>
        <w:t xml:space="preserve"> (Secc. 9.4.7) no tiene recepción en el derecho positivo argentino como herramienta de gestión municipal autónoma: el Código Civil y Comercial regula la prescripción adquisitiva (arts. 1897 y ss.) como institución de derecho privado de tramitación judicial, y su traslado al ámbito administrativo municipal requeriría reforma legislativa provincial. Los </w:t>
      </w:r>
      <w:r>
        <w:rPr>
          <w:rFonts w:ascii="Times New Roman" w:cs="Times New Roman" w:eastAsia="Times New Roman" w:hAnsi="Times New Roman"/>
          <w:i/>
          <w:iCs/>
          <w:sz w:val="24"/>
          <w:szCs w:val="24"/>
        </w:rPr>
        <w:t xml:space="preserve">Convenios Urbanísticos</w:t>
      </w:r>
      <w:r>
        <w:rPr>
          <w:rFonts w:ascii="Times New Roman" w:cs="Times New Roman" w:eastAsia="Times New Roman" w:hAnsi="Times New Roman"/>
          <w:sz w:val="24"/>
          <w:szCs w:val="24"/>
        </w:rPr>
        <w:t xml:space="preserve"> sólo son admisibles dentro de los límites fijados por la ley, pues el principio de indisponibilidad de las potestades públicas impide que el ejercicio de la potestad de planeamiento quede librado a lo que se negocie caso por caso.</w:t>
      </w:r>
    </w:p>
    <w:p>
      <w:pPr>
        <w:spacing w:after="0" w:before="160"/>
        <w:jc w:val="both"/>
      </w:pPr>
      <w:r>
        <w:rPr>
          <w:rFonts w:ascii="Times New Roman" w:cs="Times New Roman" w:eastAsia="Times New Roman" w:hAnsi="Times New Roman"/>
          <w:sz w:val="24"/>
          <w:szCs w:val="24"/>
        </w:rPr>
        <w:t xml:space="preserve">El principio de legalidad administrativa (art. 19 CN; art. 3°, Ley 1284 NQN) exige que toda obligación patrimonial impuesta a particulares —cesiones forzadas, limitaciones al uso del suelo, cargas urbanísticas— cuente con respaldo en norma formal de rango legislativo. Los actos que se dicten al margen de ese respaldo son nulos por incompetencia ratione materiae o vicio en el objeto (arts. 70-72, Ley 1284 NQN).</w:t>
      </w:r>
    </w:p>
    <w:p>
      <w:pPr>
        <w:spacing w:after="80" w:before="240"/>
        <w:jc w:val="left"/>
      </w:pPr>
      <w:r>
        <w:rPr>
          <w:rFonts w:ascii="Times New Roman" w:cs="Times New Roman" w:eastAsia="Times New Roman" w:hAnsi="Times New Roman"/>
          <w:b/>
          <w:bCs/>
          <w:sz w:val="24"/>
          <w:szCs w:val="24"/>
        </w:rPr>
        <w:t xml:space="preserve">III.5. Falta de coordinación con el Parque Nacional Lanín</w:t>
      </w:r>
    </w:p>
    <w:p>
      <w:pPr>
        <w:spacing w:after="0" w:before="160"/>
        <w:jc w:val="both"/>
      </w:pPr>
      <w:r>
        <w:rPr>
          <w:rFonts w:ascii="Times New Roman" w:cs="Times New Roman" w:eastAsia="Times New Roman" w:hAnsi="Times New Roman"/>
          <w:sz w:val="24"/>
          <w:szCs w:val="24"/>
        </w:rPr>
        <w:t xml:space="preserve">El propio Lineamiento 1 reconoce que San Martín de los Andes "limita con el Parque Nacional Lanín, con el que comparte un borde permeable con interacción cotidiana sensible a impactos de las actividades humanas" (pág. 12). Pese a ello, el Informe no documenta ningún proceso de coordinación formal con la Administración de Parques Nacionales. La Ley 22.351 atribuye a la APN competencia exclusiva sobre los Parques y sus zonas de amortiguamiento, y el artículo 4° de la LGA impone a todos los niveles de gobierno actuar de modo coherente en la preservación ambiental. Las disposiciones del POT que habiliten usos del suelo o infraestructuras en la zona de interfaz sin acuerdo previo con la APN quedarán expuestas a impugnación en sede contencioso-administrativa federal.</w:t>
      </w:r>
    </w:p>
    <w:p>
      <w:pPr>
        <w:spacing w:after="80" w:before="240"/>
        <w:jc w:val="left"/>
      </w:pPr>
      <w:r>
        <w:rPr>
          <w:rFonts w:ascii="Times New Roman" w:cs="Times New Roman" w:eastAsia="Times New Roman" w:hAnsi="Times New Roman"/>
          <w:b/>
          <w:bCs/>
          <w:sz w:val="24"/>
          <w:szCs w:val="24"/>
        </w:rPr>
        <w:t xml:space="preserve">III.6. Insuficiencia de la línea de base ambiental</w:t>
      </w:r>
    </w:p>
    <w:p>
      <w:pPr>
        <w:spacing w:after="0" w:before="160"/>
        <w:jc w:val="both"/>
      </w:pPr>
      <w:r>
        <w:rPr>
          <w:rFonts w:ascii="Times New Roman" w:cs="Times New Roman" w:eastAsia="Times New Roman" w:hAnsi="Times New Roman"/>
          <w:sz w:val="24"/>
          <w:szCs w:val="24"/>
        </w:rPr>
        <w:t xml:space="preserve">El Anexo I concentra su análisis en escenarios climáticos y gestión de riesgos naturales. Ese enfoque es valioso, pero insuficiente como línea de base ambiental para un POT que proyecta transformar masivamente el uso del suelo de un territorio cordillerano de alta biodiversidad. El artículo 12° LGA y los Anexos III-V del Decreto 2656/99 exigen que toda EIA —y por analogía toda EAE— incluya la identificación de los componentes ambientales afectados (suelo, agua, flora, fauna, paisaje, población), la evaluación de impactos directos, indirectos, acumulativos y sinérgicos, y la propuesta de medidas de mitigación con indicadores verificables.</w:t>
      </w:r>
    </w:p>
    <w:p>
      <w:pPr>
        <w:spacing w:after="0" w:before="160"/>
        <w:jc w:val="both"/>
      </w:pPr>
      <w:r>
        <w:rPr>
          <w:rFonts w:ascii="Times New Roman" w:cs="Times New Roman" w:eastAsia="Times New Roman" w:hAnsi="Times New Roman"/>
          <w:sz w:val="24"/>
          <w:szCs w:val="24"/>
        </w:rPr>
        <w:t xml:space="preserve">El Anexo I del Informe carece de inventario de biodiversidad con georreferenciación, estado de las cuencas hídricas superficiales y subterráneas, identificación de corredores biológicos y del ecotono bosque-estepa, análisis de capacidad de carga para el crecimiento proyectado, y línea de base medible de calidad del aire y gestión de residuos. Sin esa base, resulta imposible evaluar ex post si el Plan ha generado daño ambiental colectivo, lo que dificulta el ejercicio de la acción de recomposición del artículo 28 LGA y la determinación de responsabilidades. La Corte Suprema dejó sentado en </w:t>
      </w:r>
      <w:r>
        <w:rPr>
          <w:rFonts w:ascii="Times New Roman" w:cs="Times New Roman" w:eastAsia="Times New Roman" w:hAnsi="Times New Roman"/>
          <w:i/>
          <w:iCs/>
          <w:sz w:val="24"/>
          <w:szCs w:val="24"/>
        </w:rPr>
        <w:t xml:space="preserve">Mendoza, Beatriz Silvia y otros c/ Estado Nacional y otros</w:t>
      </w:r>
      <w:r>
        <w:rPr>
          <w:rFonts w:ascii="Times New Roman" w:cs="Times New Roman" w:eastAsia="Times New Roman" w:hAnsi="Times New Roman"/>
          <w:sz w:val="24"/>
          <w:szCs w:val="24"/>
        </w:rPr>
        <w:t xml:space="preserve"> (20/06/2006, Fallos: 329:2316) que la omisión del Estado en ejercer sus funciones de control ante un daño ambiental documentado genera responsabilidad concurrente con el agente contaminante, criterio de plena aplicación cuando la omisión consta en los propios informes oficiales.</w:t>
      </w:r>
    </w:p>
    <w:p>
      <w:pPr>
        <w:spacing w:after="80" w:before="240"/>
        <w:jc w:val="left"/>
      </w:pPr>
      <w:r>
        <w:rPr>
          <w:rFonts w:ascii="Times New Roman" w:cs="Times New Roman" w:eastAsia="Times New Roman" w:hAnsi="Times New Roman"/>
          <w:b/>
          <w:bCs/>
          <w:sz w:val="24"/>
          <w:szCs w:val="24"/>
        </w:rPr>
        <w:t xml:space="preserve">III.7. Deficiencias en el procedimiento formal de aprobación</w:t>
      </w:r>
    </w:p>
    <w:p>
      <w:pPr>
        <w:spacing w:after="0" w:before="160"/>
        <w:jc w:val="both"/>
      </w:pPr>
      <w:r>
        <w:rPr>
          <w:rFonts w:ascii="Times New Roman" w:cs="Times New Roman" w:eastAsia="Times New Roman" w:hAnsi="Times New Roman"/>
          <w:sz w:val="24"/>
          <w:szCs w:val="24"/>
        </w:rPr>
        <w:t xml:space="preserve">El Informe propone "Secuencias administrativas" para la implementación del Plan (pág. 72), pero no define el instrumento jurídico de aprobación, ni su jerarquía normativa respecto de las ordenanzas vigentes que deroga o modifica, ni el mecanismo de publicidad que garantice el acceso de los ciudadanos a sus contenidos. Esas omisiones no son técnicas: son jurídicamente determinantes.</w:t>
      </w:r>
    </w:p>
    <w:p>
      <w:pPr>
        <w:spacing w:after="0" w:before="160"/>
        <w:jc w:val="both"/>
      </w:pPr>
      <w:r>
        <w:rPr>
          <w:rFonts w:ascii="Times New Roman" w:cs="Times New Roman" w:eastAsia="Times New Roman" w:hAnsi="Times New Roman"/>
          <w:sz w:val="24"/>
          <w:szCs w:val="24"/>
        </w:rPr>
        <w:t xml:space="preserve">El artículo 50 de la Ley 1284 NQN exige dictamen jurídico previo del servicio permanente de asesoramiento jurídico del Estado como requisito ineludible de todo acto administrativo de alcance general. La omisión de ese dictamen tiene entidad nulificante conforme a los artículos 70-72 de la misma ley. El principio de jerarquía normativa (art. 31 CN) exige además que el acto de aprobación identifique con precisión las normas que deroga, modifica o suspende: un plan que contradice ordenanzas vigentes sin derogarlas expresamente genera antinomias que afectan la seguridad jurídica de los administrados.</w:t>
      </w:r>
    </w:p>
    <w:p>
      <w:pPr>
        <w:spacing w:after="0" w:before="160"/>
        <w:jc w:val="both"/>
      </w:pPr>
      <w:r>
        <w:rPr>
          <w:rFonts w:ascii="Times New Roman" w:cs="Times New Roman" w:eastAsia="Times New Roman" w:hAnsi="Times New Roman"/>
          <w:sz w:val="24"/>
          <w:szCs w:val="24"/>
        </w:rPr>
        <w:t xml:space="preserve">El denominado "proceso de negociación" descripto en la Sección 10.3 del Informe —que concibe la implementación del POT como resultado de acuerdos bilaterales entre el Estado y los propietarios— es incompatible con el principio de igualdad ante la ley (art. 16 CN). Las normas de alcance general deben aplicarse de modo uniforme: no pueden depender de lo que se negocie en cada caso concreto.</w:t>
      </w:r>
    </w:p>
    <w:p>
      <w:pPr>
        <w:spacing w:after="120" w:before="120"/>
        <w:ind w:left="360" w:right="360"/>
        <w:jc w:val="both"/>
      </w:pPr>
      <w:r>
        <w:rPr>
          <w:rFonts w:ascii="Times New Roman" w:cs="Times New Roman" w:eastAsia="Times New Roman" w:hAnsi="Times New Roman"/>
          <w:i/>
          <w:iCs/>
          <w:sz w:val="20"/>
          <w:szCs w:val="20"/>
        </w:rPr>
        <w:t xml:space="preserve">Nota procesal: los argumentos vinculados a vicios del procedimiento administrativo de la Ley 1284 deberán respaldarse ante el órgano receptor con la documentación pertinente obtenida de la Secretaría de Jurisprudencia del Tribunal Superior de Justicia de Neuquén.</w:t>
      </w:r>
    </w:p>
    <w:p>
      <w:pPr>
        <w:spacing w:after="80" w:before="240"/>
        <w:jc w:val="left"/>
      </w:pPr>
      <w:r>
        <w:rPr>
          <w:rFonts w:ascii="Times New Roman" w:cs="Times New Roman" w:eastAsia="Times New Roman" w:hAnsi="Times New Roman"/>
          <w:b/>
          <w:bCs/>
          <w:sz w:val="24"/>
          <w:szCs w:val="24"/>
        </w:rPr>
        <w:t xml:space="preserve">III.8. Omisión de consulta previa a comunidades indígenas</w:t>
      </w:r>
    </w:p>
    <w:p>
      <w:pPr>
        <w:spacing w:after="0" w:before="160"/>
        <w:jc w:val="both"/>
      </w:pPr>
      <w:r>
        <w:rPr>
          <w:rFonts w:ascii="Times New Roman" w:cs="Times New Roman" w:eastAsia="Times New Roman" w:hAnsi="Times New Roman"/>
          <w:sz w:val="24"/>
          <w:szCs w:val="24"/>
        </w:rPr>
        <w:t xml:space="preserve">El territorio de San Martín de los Andes forma parte del histórico territorio mapuche, y en la región cordillerana de Neuquén existen múltiples comunidades indígenas reconocidas. El Informe Parcial 3 no contiene referencia alguna a la realización ni a la planificación de un proceso de consulta previa, libre e informada con las comunidades del área de influencia del Plan.</w:t>
      </w:r>
    </w:p>
    <w:p>
      <w:pPr>
        <w:spacing w:after="0" w:before="160"/>
        <w:jc w:val="both"/>
      </w:pPr>
      <w:r>
        <w:rPr>
          <w:rFonts w:ascii="Times New Roman" w:cs="Times New Roman" w:eastAsia="Times New Roman" w:hAnsi="Times New Roman"/>
          <w:sz w:val="24"/>
          <w:szCs w:val="24"/>
        </w:rPr>
        <w:t xml:space="preserve">El artículo 75 inciso 17 CN garantiza la participación de los pueblos indígenas en la gestión referida a sus recursos naturales e intereses. El artículo 6° del Convenio 169 OIT (Ley 24.071) obliga a consultar a los pueblos interesados "cada vez que se prevean medidas legislativas o administrativas susceptibles de afectarles directamente". La Corte Suprema ha reconocido la operatividad directa del Convenio 169 OIT como norma de jerarquía supralegal (art. 31 CN). La Ley 26.160 de emergencia territorial indígena suspende los desalojos y exige el relevamiento previo de las comunidades. La omisión de consulta previa vicia de nulidad al POT y a todos los actos de implementación que afecten territorios con presencia o reclamación indígena.</w:t>
      </w:r>
    </w:p>
    <w:p>
      <w:pPr>
        <w:spacing w:after="80" w:before="240"/>
        <w:jc w:val="left"/>
      </w:pPr>
      <w:r>
        <w:rPr>
          <w:rFonts w:ascii="Times New Roman" w:cs="Times New Roman" w:eastAsia="Times New Roman" w:hAnsi="Times New Roman"/>
          <w:b/>
          <w:bCs/>
          <w:sz w:val="24"/>
          <w:szCs w:val="24"/>
        </w:rPr>
        <w:t xml:space="preserve">III.9. Programa Kaleuche</w:t>
      </w:r>
    </w:p>
    <w:p>
      <w:pPr>
        <w:spacing w:after="0" w:before="160"/>
        <w:jc w:val="both"/>
      </w:pPr>
      <w:r>
        <w:rPr>
          <w:rFonts w:ascii="Times New Roman" w:cs="Times New Roman" w:eastAsia="Times New Roman" w:hAnsi="Times New Roman"/>
          <w:sz w:val="24"/>
          <w:szCs w:val="24"/>
        </w:rPr>
        <w:t xml:space="preserve">El Anexo VII presenta la propuesta de instrumentación para Altos de Kaleuche, loteo con aproximadamente 3.700 lotes de 600 m² aprobado por la Provincia en la década del setenta, antes de la sanción de la Ley 26.331 de Bosques Nativos. El propio Informe reconoce un cuadro grave: avance sobre bosque nativo de ñire, lenga y coihue con ejemplares centenarios en riesgo, contaminación ya efectiva de napas subterráneas y cursos de agua por efluentes cloacales, y 1.234 transferencias de dominio escrituradas al Fideicomiso Inmobiliario Nuevo Kaleuche (FINK) al mes de febrero de 2026. Pese a ese diagnóstico, la propuesta de instrumentación presenta deficiencias jurídicas serias en varios frentes.</w:t>
      </w:r>
    </w:p>
    <w:p>
      <w:pPr>
        <w:spacing w:after="60" w:before="180"/>
        <w:jc w:val="left"/>
      </w:pPr>
      <w:r>
        <w:rPr>
          <w:rFonts w:ascii="Times New Roman" w:cs="Times New Roman" w:eastAsia="Times New Roman" w:hAnsi="Times New Roman"/>
          <w:b/>
          <w:bCs/>
          <w:i/>
          <w:iCs/>
          <w:sz w:val="24"/>
          <w:szCs w:val="24"/>
        </w:rPr>
        <w:t xml:space="preserve">a) Bosque nativo y OTBN</w:t>
      </w:r>
    </w:p>
    <w:p>
      <w:pPr>
        <w:spacing w:after="0" w:before="160"/>
        <w:jc w:val="both"/>
      </w:pPr>
      <w:r>
        <w:rPr>
          <w:rFonts w:ascii="Times New Roman" w:cs="Times New Roman" w:eastAsia="Times New Roman" w:hAnsi="Times New Roman"/>
          <w:sz w:val="24"/>
          <w:szCs w:val="24"/>
        </w:rPr>
        <w:t xml:space="preserve">El Informe señala que si se aplicaran hoy los criterios de la Ley 26.331, "gran parte" de los planos de Kaleuche "debería zonificarse en amarillo y rojo". Aun así, la propuesta no contempla la verificación de compatibilidad con el Ordenamiento Territorial de Bosques Nativos como condición previa a la habilitación de obras. El artículo 14 de la Ley 26.331 exige la actualización de los OTBN cada cinco años o cuando cambien las condiciones; el artículo 6° exige que toda autorización de desmonte sea consistente con el OTBN vigente. La Ley Provincial 2.780 prohíbe, en los artículos 1° y 9°, el desmonte o transformación en zonas de Categoría I y II. Es necesario verificar ante la autoridad provincial la categoría asignada a los Planos N° 6 y N° 8, porque esa clasificación determina la extensión de las prohibiciones. En el Plano N° 6 la situación es urgente: el Informe describe obras ya iniciadas sobre ejemplares centenarios, configurando un daño ambiental en curso (art. 27 LGA). Las autorizaciones otorgadas sin verificación OTBN son nulas por violación de norma de presupuesto mínimo, con responsabilidad solidaria del Municipio (arts. 28-29 LGA).</w:t>
      </w:r>
    </w:p>
    <w:p>
      <w:pPr>
        <w:spacing w:after="60" w:before="180"/>
        <w:jc w:val="left"/>
      </w:pPr>
      <w:r>
        <w:rPr>
          <w:rFonts w:ascii="Times New Roman" w:cs="Times New Roman" w:eastAsia="Times New Roman" w:hAnsi="Times New Roman"/>
          <w:b/>
          <w:bCs/>
          <w:i/>
          <w:iCs/>
          <w:sz w:val="24"/>
          <w:szCs w:val="24"/>
        </w:rPr>
        <w:t xml:space="preserve">b) Ausencia de EIA del Plan de Instrumentación</w:t>
      </w:r>
    </w:p>
    <w:p>
      <w:pPr>
        <w:spacing w:after="0" w:before="160"/>
        <w:jc w:val="both"/>
      </w:pPr>
      <w:r>
        <w:rPr>
          <w:rFonts w:ascii="Times New Roman" w:cs="Times New Roman" w:eastAsia="Times New Roman" w:hAnsi="Times New Roman"/>
          <w:sz w:val="24"/>
          <w:szCs w:val="24"/>
        </w:rPr>
        <w:t xml:space="preserve">Por su magnitud, el Plan Kaleuche debe calificarse como de gran impacto ambiental en los términos del artículo 17 de la Ordenanza 1584/94, lo que activa la obligación de presentar un Estudio de Evaluación de Impacto Ambiental ante la UTGA y tramitar la Declaración Ambiental con participación ciudadana previa (arts. 19-22). Sin ese instrumento, ninguna de las acciones concretas del Plan puede iniciarse: los actos que autoricen obras sin Declaración Ambiental previa son nulos (arts. 70-72, Ley 1284 NQN).</w:t>
      </w:r>
    </w:p>
    <w:p>
      <w:pPr>
        <w:spacing w:after="60" w:before="180"/>
        <w:jc w:val="left"/>
      </w:pPr>
      <w:r>
        <w:rPr>
          <w:rFonts w:ascii="Times New Roman" w:cs="Times New Roman" w:eastAsia="Times New Roman" w:hAnsi="Times New Roman"/>
          <w:b/>
          <w:bCs/>
          <w:i/>
          <w:iCs/>
          <w:sz w:val="24"/>
          <w:szCs w:val="24"/>
        </w:rPr>
        <w:t xml:space="preserve">c) Daño ambiental ya documentado</w:t>
      </w:r>
    </w:p>
    <w:p>
      <w:pPr>
        <w:spacing w:after="0" w:before="160"/>
        <w:jc w:val="both"/>
      </w:pPr>
      <w:r>
        <w:rPr>
          <w:rFonts w:ascii="Times New Roman" w:cs="Times New Roman" w:eastAsia="Times New Roman" w:hAnsi="Times New Roman"/>
          <w:sz w:val="24"/>
          <w:szCs w:val="24"/>
        </w:rPr>
        <w:t xml:space="preserve">El reconocimiento en el propio Informe de que la contaminación de napas y cursos de agua "es ya una realidad" constituye una constatación oficial de daño ambiental en curso en los términos del artículo 27 LGA. El artículo 28 establece la obligación de recomposición; el artículo 29, la responsabilidad solidaria objetiva; el artículo 30 habilita a cualquier ciudadano a ejercer la acción de recomposición. La Ley 25.831 obliga a transparentar públicamente esa información. Sin embargo, el Plan no contempla medidas de recomposición del daño existente, limitándose a medidas preventivas para el futuro. La omisión expone al Municipio a una acción judicial donde la prueba del daño resulta del propio Informe oficial. El precedente </w:t>
      </w:r>
      <w:r>
        <w:rPr>
          <w:rFonts w:ascii="Times New Roman" w:cs="Times New Roman" w:eastAsia="Times New Roman" w:hAnsi="Times New Roman"/>
          <w:i/>
          <w:iCs/>
          <w:sz w:val="24"/>
          <w:szCs w:val="24"/>
        </w:rPr>
        <w:t xml:space="preserve">Mendoza</w:t>
      </w:r>
      <w:r>
        <w:rPr>
          <w:rFonts w:ascii="Times New Roman" w:cs="Times New Roman" w:eastAsia="Times New Roman" w:hAnsi="Times New Roman"/>
          <w:sz w:val="24"/>
          <w:szCs w:val="24"/>
        </w:rPr>
        <w:t xml:space="preserve"> (Fallos: 329:2316) establece que la tolerancia estatal ante un daño ambiental documentado genera responsabilidad concurrente del Estado con el agente contaminante, criterio de aplicación directa a este caso.</w:t>
      </w:r>
    </w:p>
    <w:p>
      <w:pPr>
        <w:spacing w:after="60" w:before="180"/>
        <w:jc w:val="left"/>
      </w:pPr>
      <w:r>
        <w:rPr>
          <w:rFonts w:ascii="Times New Roman" w:cs="Times New Roman" w:eastAsia="Times New Roman" w:hAnsi="Times New Roman"/>
          <w:b/>
          <w:bCs/>
          <w:i/>
          <w:iCs/>
          <w:sz w:val="24"/>
          <w:szCs w:val="24"/>
        </w:rPr>
        <w:t xml:space="preserve">d) FINK: ventas sin control ambiental</w:t>
      </w:r>
    </w:p>
    <w:p>
      <w:pPr>
        <w:spacing w:after="0" w:before="160"/>
        <w:jc w:val="both"/>
      </w:pPr>
      <w:r>
        <w:rPr>
          <w:rFonts w:ascii="Times New Roman" w:cs="Times New Roman" w:eastAsia="Times New Roman" w:hAnsi="Times New Roman"/>
          <w:sz w:val="24"/>
          <w:szCs w:val="24"/>
        </w:rPr>
        <w:t xml:space="preserve">Desde mediados de 2023, el FINK escrituró más de 1.234 lotes —incluyendo en el Plano N° 6, con bosque nativo de alta densidad— sin EIA del conjunto ni autorización ambiental del Municipio. La Ordenanza 1584/94 (art. 8°) no distingue entre desarrollos públicos y privados: toda acción de desarrollo urbanístico en el ejido queda sujeta al procedimiento de EIA. La inacción de la UTGA frente a esas operaciones configura una omisión antijurídica que puede generar responsabilidad estatal por el daño ambiental resultante.</w:t>
      </w:r>
    </w:p>
    <w:p>
      <w:pPr>
        <w:spacing w:after="60" w:before="180"/>
        <w:jc w:val="left"/>
      </w:pPr>
      <w:r>
        <w:rPr>
          <w:rFonts w:ascii="Times New Roman" w:cs="Times New Roman" w:eastAsia="Times New Roman" w:hAnsi="Times New Roman"/>
          <w:b/>
          <w:bCs/>
          <w:i/>
          <w:iCs/>
          <w:sz w:val="24"/>
          <w:szCs w:val="24"/>
        </w:rPr>
        <w:t xml:space="preserve">e) Ente Coordinador y reparcelamiento</w:t>
      </w:r>
    </w:p>
    <w:p>
      <w:pPr>
        <w:spacing w:after="0" w:before="160"/>
        <w:jc w:val="both"/>
      </w:pPr>
      <w:r>
        <w:rPr>
          <w:rFonts w:ascii="Times New Roman" w:cs="Times New Roman" w:eastAsia="Times New Roman" w:hAnsi="Times New Roman"/>
          <w:sz w:val="24"/>
          <w:szCs w:val="24"/>
        </w:rPr>
        <w:t xml:space="preserve">El "Ente Coordinador para la Urbanización Integral de Kaleuche" propuesto carece de naturaleza jurídica definida, instrumento normativo de creación y mecanismos de control externo. El artículo 3° de la Ley 1284 NQN establece que ningún organismo puede ejecutar fondos públicos ni firmar acuerdos sin norma habilitante expresa: todos sus actos serían nulos por incompetencia del órgano (art. 71, Ley 1284). El reparcelamiento de los Planos N° 8 y N° 10 mediante acuerdo bilateral con propietarios mayoristas tampoco satisface los requisitos normativos: requiere ordenanza municipal habilitante, EIA específica, participación ciudadana de los propietarios afectados y coordinación previa con la APN respecto del Plano N° 6 y la Laguna Rosales, dentro del Parque Nacional Lanín.</w:t>
      </w:r>
    </w:p>
    <w:p>
      <w:pPr>
        <w:spacing w:after="80" w:before="240"/>
        <w:jc w:val="left"/>
      </w:pPr>
      <w:r>
        <w:rPr>
          <w:rFonts w:ascii="Times New Roman" w:cs="Times New Roman" w:eastAsia="Times New Roman" w:hAnsi="Times New Roman"/>
          <w:b/>
          <w:bCs/>
          <w:sz w:val="24"/>
          <w:szCs w:val="24"/>
        </w:rPr>
        <w:t xml:space="preserve">III.10. Cerro Chapelco: obras en ejecución sin EIA</w:t>
      </w:r>
    </w:p>
    <w:p>
      <w:pPr>
        <w:spacing w:after="0" w:before="160"/>
        <w:jc w:val="both"/>
      </w:pPr>
      <w:r>
        <w:rPr>
          <w:rFonts w:ascii="Times New Roman" w:cs="Times New Roman" w:eastAsia="Times New Roman" w:hAnsi="Times New Roman"/>
          <w:sz w:val="24"/>
          <w:szCs w:val="24"/>
        </w:rPr>
        <w:t xml:space="preserve">La nueva concesionaria del Cerro Chapelco, Transportes Don Otto S.A. (Grupo Vía Bariloche / Familia Trappa), adjudicataria de la licitación pública por 25 años, inició a fines de 2025 un conjunto de obras de gran envergadura. Conforme a información de acceso público disponible al mes de abril de 2026, se encuentran en ejecución: una telecabina desembragable marca Poma de 62 cabinas para 10 pasajeros cada una con un edificio garage de 1.400 m² en dos plantas; diecisiete cañones de nieve fija en total; un reservorio de agua de hasta 150.000 m³ para el sistema de innivación; conexión a línea eléctrica de 33 kV; ampliación y asfaltado del estacionamiento; y pavimentación de la Ruta Provincial N° 19. Ninguna de esas obras cuenta, conforme a la información pública disponible, con Declaración Ambiental emitida por la UTGA ni con licencia ambiental provincial.</w:t>
      </w:r>
    </w:p>
    <w:p>
      <w:pPr>
        <w:spacing w:after="120" w:before="120"/>
        <w:ind w:left="360" w:right="360"/>
        <w:jc w:val="both"/>
      </w:pPr>
      <w:r>
        <w:rPr>
          <w:rFonts w:ascii="Times New Roman" w:cs="Times New Roman" w:eastAsia="Times New Roman" w:hAnsi="Times New Roman"/>
          <w:i/>
          <w:iCs/>
          <w:sz w:val="20"/>
          <w:szCs w:val="20"/>
        </w:rPr>
        <w:t xml:space="preserve">Nota procesal: con carácter previo a la presentación formal, se recomienda cursar solicitud de información bajo la Ley 25.831 ante la UTGA municipal y la Secretaría de Ambiente de Neuquén, a fin de acreditar documentalmente la inexistencia de los instrumentos de EIA o, en su caso, obtener las piezas para su análisis.</w:t>
      </w:r>
    </w:p>
    <w:p>
      <w:pPr>
        <w:spacing w:after="60" w:before="180"/>
        <w:jc w:val="left"/>
      </w:pPr>
      <w:r>
        <w:rPr>
          <w:rFonts w:ascii="Times New Roman" w:cs="Times New Roman" w:eastAsia="Times New Roman" w:hAnsi="Times New Roman"/>
          <w:b/>
          <w:bCs/>
          <w:i/>
          <w:iCs/>
          <w:sz w:val="24"/>
          <w:szCs w:val="24"/>
        </w:rPr>
        <w:t xml:space="preserve">a) La telecabina y la Ley 2.780</w:t>
      </w:r>
    </w:p>
    <w:p>
      <w:pPr>
        <w:spacing w:after="0" w:before="160"/>
        <w:jc w:val="both"/>
      </w:pPr>
      <w:r>
        <w:rPr>
          <w:rFonts w:ascii="Times New Roman" w:cs="Times New Roman" w:eastAsia="Times New Roman" w:hAnsi="Times New Roman"/>
          <w:sz w:val="24"/>
          <w:szCs w:val="24"/>
        </w:rPr>
        <w:t xml:space="preserve">La obra implica implantación de torres en ladera de montaña, movimiento de suelo, tendido de cable sobre bosque nativo y construcción de un edificio de 1.400 m², todo en zona de alta sensibilidad ambiental. El artículo 24 de la Ley 1875 y los artículos 8, 9 y 17 de la Ordenanza 1584/94 condicionan el inicio de las obras a la Declaración Ambiental previa de la UTGA con audiencia pública. Obras en ejecución sin ese instrumento son ilegales: la UTGA tiene la facultad y el deber de ordenar la suspensión inmediata (art. 24, tercer párrafo, Decreto 2656/99). La omisión de esa actuación configura una omisión antijurídica susceptible de amparo ambiental (art. 30 LGA). La traza y las obras deben verificarse además contra la categoría OTBN de la Ley 2.780, cuyas Categorías I y II prohíben la transformación del bosque nativo de modo absoluto.</w:t>
      </w:r>
    </w:p>
    <w:p>
      <w:pPr>
        <w:spacing w:after="60" w:before="180"/>
        <w:jc w:val="left"/>
      </w:pPr>
      <w:r>
        <w:rPr>
          <w:rFonts w:ascii="Times New Roman" w:cs="Times New Roman" w:eastAsia="Times New Roman" w:hAnsi="Times New Roman"/>
          <w:b/>
          <w:bCs/>
          <w:i/>
          <w:iCs/>
          <w:sz w:val="24"/>
          <w:szCs w:val="24"/>
        </w:rPr>
        <w:t xml:space="preserve">b) Innivación artificial y cuencas mapuche</w:t>
      </w:r>
    </w:p>
    <w:p>
      <w:pPr>
        <w:spacing w:after="0" w:before="160"/>
        <w:jc w:val="both"/>
      </w:pPr>
      <w:r>
        <w:rPr>
          <w:rFonts w:ascii="Times New Roman" w:cs="Times New Roman" w:eastAsia="Times New Roman" w:hAnsi="Times New Roman"/>
          <w:sz w:val="24"/>
          <w:szCs w:val="24"/>
        </w:rPr>
        <w:t xml:space="preserve">El sistema de diecisiete cañones y el reservorio de 150.000 m³ implican extracción masiva de agua de cuencas de alta montaña, obra hidráulica con movimiento de suelo, alteración del régimen hídrico primaveral y potencial contaminación por aditivos químicos. La Comunidad Mapuche Payla Menuko —cuya comunidad madre, la Curruhuinca, tiene título de propiedad comunitaria sobre parte del territorio del cerro— ha denunciado públicamente que los cañones extraen agua del único arroyo que abastece a más de 150 familias, le agregan químicos y esa mezcla contamina el suelo al fundirse. La extracción de agua para innivación requiere permiso del organismo provincial competente y EIA específica del reservorio. El principio de precaución (art. 4°, LGA) invierte la carga de la prueba: corresponde a la concesionaria acreditar que la ampliación no agrava un daño ya documentado.</w:t>
      </w:r>
    </w:p>
    <w:p>
      <w:pPr>
        <w:spacing w:after="60" w:before="180"/>
        <w:jc w:val="left"/>
      </w:pPr>
      <w:r>
        <w:rPr>
          <w:rFonts w:ascii="Times New Roman" w:cs="Times New Roman" w:eastAsia="Times New Roman" w:hAnsi="Times New Roman"/>
          <w:b/>
          <w:bCs/>
          <w:i/>
          <w:iCs/>
          <w:sz w:val="24"/>
          <w:szCs w:val="24"/>
        </w:rPr>
        <w:t xml:space="preserve">c) Antecedente penal-ambiental y consulta indígena pendiente</w:t>
      </w:r>
    </w:p>
    <w:p>
      <w:pPr>
        <w:spacing w:after="0" w:before="160"/>
        <w:jc w:val="both"/>
      </w:pPr>
      <w:r>
        <w:rPr>
          <w:rFonts w:ascii="Times New Roman" w:cs="Times New Roman" w:eastAsia="Times New Roman" w:hAnsi="Times New Roman"/>
          <w:sz w:val="24"/>
          <w:szCs w:val="24"/>
        </w:rPr>
        <w:t xml:space="preserve">Durante la gestión de la ex concesionaria Nieves del Chapelco S.A., la Fiscalía Ambiental de Neuquén intervino ante la denuncia de desmonte ilegal de lengas centenarias, y la jueza de garantías dispuso el cese de toda actividad de desmonte. Las obras actuales son de mayor envergadura que las que motivaron esa causa y exigen con mayor razón la evaluación del impacto sobre la masa forestal protegida por la Ley 26.331 y la Ley 2.780. No existe documentación pública que acredite consulta previa, libre e informada con la Comunidad Curruhuinca / Payla Menuko respecto de las obras en ejecución, en violación del artículo 6° del Convenio 169 OIT y el artículo 75 inciso 17 CN.</w:t>
      </w:r>
    </w:p>
    <w:p>
      <w:pPr>
        <w:spacing w:after="60" w:before="180"/>
        <w:jc w:val="left"/>
      </w:pPr>
      <w:r>
        <w:rPr>
          <w:rFonts w:ascii="Times New Roman" w:cs="Times New Roman" w:eastAsia="Times New Roman" w:hAnsi="Times New Roman"/>
          <w:b/>
          <w:bCs/>
          <w:i/>
          <w:iCs/>
          <w:sz w:val="24"/>
          <w:szCs w:val="24"/>
        </w:rPr>
        <w:t xml:space="preserve">d) Inconsistencia estructural del POT</w:t>
      </w:r>
    </w:p>
    <w:p>
      <w:pPr>
        <w:spacing w:after="0" w:before="160"/>
        <w:jc w:val="both"/>
      </w:pPr>
      <w:r>
        <w:rPr>
          <w:rFonts w:ascii="Times New Roman" w:cs="Times New Roman" w:eastAsia="Times New Roman" w:hAnsi="Times New Roman"/>
          <w:sz w:val="24"/>
          <w:szCs w:val="24"/>
        </w:rPr>
        <w:t xml:space="preserve">El Informe Parcial 3, elaborado en marzo de 2026 cuando estas obras ya estaban en plena ejecución, trata la expansión del Cerro Chapelco exclusivamente como oportunidad de desarrollo económico (Anexo III), sin formular observación jurídica ni ambiental alguna al respecto. Esa inconsistencia es estructural: un Plan de Ordenamiento Territorial que exige EIA para proyectos futuros no puede guardar silencio sobre la ausencia de EIA en obras presentes de mayor envergadura. Esa omisión debilita la seriedad ambiental del instrumento como fundamento de un acto administrativo válido.</w:t>
      </w:r>
    </w:p>
    <w:p>
      <w:pPr>
        <w:spacing w:after="80" w:before="240"/>
        <w:jc w:val="left"/>
      </w:pPr>
      <w:r>
        <w:rPr>
          <w:rFonts w:ascii="Times New Roman" w:cs="Times New Roman" w:eastAsia="Times New Roman" w:hAnsi="Times New Roman"/>
          <w:b/>
          <w:bCs/>
          <w:sz w:val="24"/>
          <w:szCs w:val="24"/>
        </w:rPr>
        <w:t xml:space="preserve">III.11. Observaciones adicionales</w:t>
      </w:r>
    </w:p>
    <w:p>
      <w:pPr>
        <w:spacing w:after="60" w:before="180"/>
        <w:jc w:val="left"/>
      </w:pPr>
      <w:r>
        <w:rPr>
          <w:rFonts w:ascii="Times New Roman" w:cs="Times New Roman" w:eastAsia="Times New Roman" w:hAnsi="Times New Roman"/>
          <w:b/>
          <w:bCs/>
          <w:i/>
          <w:iCs/>
          <w:sz w:val="24"/>
          <w:szCs w:val="24"/>
        </w:rPr>
        <w:t xml:space="preserve">a) Escenarios E1-E5 y motivación del acto aprobatorio</w:t>
      </w:r>
    </w:p>
    <w:p>
      <w:pPr>
        <w:spacing w:after="0" w:before="160"/>
        <w:jc w:val="both"/>
      </w:pPr>
      <w:r>
        <w:rPr>
          <w:rFonts w:ascii="Times New Roman" w:cs="Times New Roman" w:eastAsia="Times New Roman" w:hAnsi="Times New Roman"/>
          <w:sz w:val="24"/>
          <w:szCs w:val="24"/>
        </w:rPr>
        <w:t xml:space="preserve">El Anexo I propone cinco escenarios de aptitud del suelo (E1 a E5). El Plan adopta implícitamente posiciones intermedias —E3 a E5— que permiten urbanización en áreas con pendientes superiores al 20%, bosques de transición y mallines, sin explicitar con fundamento técnico-jurídico suficiente por qué se descarta el escenario más restrictivo. El principio de precaución (art. 4°, LGA; art. 3°, Ley 1875) traslada la carga de la prueba a quien pretende avanzar sobre áreas ambientalmente sensibles. El artículo 56 de la Ley 1284 NQN exige que el acto administrativo esté debidamente motivado con expresión de las razones que lo determinan. Un POT que habilita urbanización en zonas de aptitud restringida según sus propios estudios técnicos, sin motivar esa elección, adolece de vicio en el elemento causal y puede ser impugnado por arbitrariedad manifiesta.</w:t>
      </w:r>
    </w:p>
    <w:p>
      <w:pPr>
        <w:spacing w:after="60" w:before="180"/>
        <w:jc w:val="left"/>
      </w:pPr>
      <w:r>
        <w:rPr>
          <w:rFonts w:ascii="Times New Roman" w:cs="Times New Roman" w:eastAsia="Times New Roman" w:hAnsi="Times New Roman"/>
          <w:b/>
          <w:bCs/>
          <w:i/>
          <w:iCs/>
          <w:sz w:val="24"/>
          <w:szCs w:val="24"/>
        </w:rPr>
        <w:t xml:space="preserve">b) Transparencia y acceso a la información</w:t>
      </w:r>
    </w:p>
    <w:p>
      <w:pPr>
        <w:spacing w:after="0" w:before="160"/>
        <w:jc w:val="both"/>
      </w:pPr>
      <w:r>
        <w:rPr>
          <w:rFonts w:ascii="Times New Roman" w:cs="Times New Roman" w:eastAsia="Times New Roman" w:hAnsi="Times New Roman"/>
          <w:sz w:val="24"/>
          <w:szCs w:val="24"/>
        </w:rPr>
        <w:t xml:space="preserve">El "modelo de gestión unificado" propuesto en la Tarea 10 simplifica trámites de aprobación urbanística sin establecer mecanismos de publicidad activa de la documentación del proceso. El artículo 37 de la Ley 1284 NQN garantiza la publicidad de los actos y el derecho de los administrados a intervenir. La Ley 25.831 obliga a poner a disposición de cualquier ciudadano toda la información ambiental que obre en poder de la autoridad. La ausencia de un expediente digital público habilita la intimación administrativa de cualquier interesado y, ante incumplimiento, la vía del amparo informativo (art. 43 CN; art. 16, Ley 25.831).</w:t>
      </w:r>
    </w:p>
    <w:p>
      <w:pPr>
        <w:spacing w:after="60" w:before="180"/>
        <w:jc w:val="left"/>
      </w:pPr>
      <w:r>
        <w:rPr>
          <w:rFonts w:ascii="Times New Roman" w:cs="Times New Roman" w:eastAsia="Times New Roman" w:hAnsi="Times New Roman"/>
          <w:b/>
          <w:bCs/>
          <w:i/>
          <w:iCs/>
          <w:sz w:val="24"/>
          <w:szCs w:val="24"/>
        </w:rPr>
        <w:t xml:space="preserve">c) La Ley Provincial 2.780 como marco vinculante omitido</w:t>
      </w:r>
    </w:p>
    <w:p>
      <w:pPr>
        <w:spacing w:after="0" w:before="160"/>
        <w:jc w:val="both"/>
      </w:pPr>
      <w:r>
        <w:rPr>
          <w:rFonts w:ascii="Times New Roman" w:cs="Times New Roman" w:eastAsia="Times New Roman" w:hAnsi="Times New Roman"/>
          <w:sz w:val="24"/>
          <w:szCs w:val="24"/>
        </w:rPr>
        <w:t xml:space="preserve">El Informe referencia la Ley Nacional 26.331 pero no integra la Ley Provincial 2.780, que es la norma que opera de modo directo sobre el territorio neuquino. La omisión de verificar la categoría OTBN de las zonas afectadas —tanto en Kaleuche como en el Cerro Chapelco— es especialmente grave porque la Ley 2.780 es de orden público y de cumplimiento obligatorio para todos los organismos estatales, y toda autorización en zonas de Categoría I o II es nula de nulidad absoluta sin posibilidad de convalidación posterior.</w:t>
      </w:r>
    </w:p>
    <w:p>
      <w:pPr>
        <w:spacing w:after="120" w:before="320"/>
        <w:jc w:val="left"/>
      </w:pPr>
      <w:r>
        <w:rPr>
          <w:rFonts w:ascii="Times New Roman" w:cs="Times New Roman" w:eastAsia="Times New Roman" w:hAnsi="Times New Roman"/>
          <w:b/>
          <w:bCs/>
          <w:caps/>
          <w:sz w:val="24"/>
          <w:szCs w:val="24"/>
        </w:rPr>
        <w:t xml:space="preserve">IV. Cuadro de síntesis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600"/>
        <w:gridCol w:w="2100"/>
        <w:gridCol w:w="2560"/>
      </w:tblGrid>
      <w:tr>
        <w:trPr>
          <w:tblHeader/>
        </w:trPr>
        <w:tc>
          <w:tcPr>
            <w:tcW w:type="dxa" w:w="2100"/>
            <w:tcBorders>
              <w:top w:val="single" w:color="999999" w:sz="1"/>
              <w:left w:val="single" w:color="999999" w:sz="1"/>
              <w:bottom w:val="single" w:color="999999" w:sz="1"/>
              <w:right w:val="single" w:color="999999" w:sz="1"/>
            </w:tcBorders>
            <w:shd w:fill="DDDDDD"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sz w:val="18"/>
                <w:szCs w:val="18"/>
              </w:rPr>
              <w:t xml:space="preserve">Deficiencia</w:t>
            </w:r>
          </w:p>
        </w:tc>
        <w:tc>
          <w:tcPr>
            <w:tcW w:type="dxa" w:w="2600"/>
            <w:tcBorders>
              <w:top w:val="single" w:color="999999" w:sz="1"/>
              <w:left w:val="single" w:color="999999" w:sz="1"/>
              <w:bottom w:val="single" w:color="999999" w:sz="1"/>
              <w:right w:val="single" w:color="999999" w:sz="1"/>
            </w:tcBorders>
            <w:shd w:fill="DDDDDD"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sz w:val="18"/>
                <w:szCs w:val="18"/>
              </w:rPr>
              <w:t xml:space="preserve">Normas aplicables</w:t>
            </w:r>
          </w:p>
        </w:tc>
        <w:tc>
          <w:tcPr>
            <w:tcW w:type="dxa" w:w="2100"/>
            <w:tcBorders>
              <w:top w:val="single" w:color="999999" w:sz="1"/>
              <w:left w:val="single" w:color="999999" w:sz="1"/>
              <w:bottom w:val="single" w:color="999999" w:sz="1"/>
              <w:right w:val="single" w:color="999999" w:sz="1"/>
            </w:tcBorders>
            <w:shd w:fill="DDDDDD"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sz w:val="18"/>
                <w:szCs w:val="18"/>
              </w:rPr>
              <w:t xml:space="preserve">Jurisprudencia / Doctrina</w:t>
            </w:r>
          </w:p>
        </w:tc>
        <w:tc>
          <w:tcPr>
            <w:tcW w:type="dxa" w:w="2560"/>
            <w:tcBorders>
              <w:top w:val="single" w:color="999999" w:sz="1"/>
              <w:left w:val="single" w:color="999999" w:sz="1"/>
              <w:bottom w:val="single" w:color="999999" w:sz="1"/>
              <w:right w:val="single" w:color="999999" w:sz="1"/>
            </w:tcBorders>
            <w:shd w:fill="DDDDDD"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sz w:val="18"/>
                <w:szCs w:val="18"/>
              </w:rPr>
              <w:t xml:space="preserve">Consecuencia jurídica</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 Ausencia de EAE</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LGA arts. 4°, 11°; Ley 1875 art. 24°; Dcto. 2656/99</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CSJN Salas, Fallos 332:663; Colombo (MJ-DOC-12371-AR); Bibiloni (FLACSO N°17); Walsh (FAOS, 2009)</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art. 72 Ley 1284; amparo art. 30 LGA</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2. Participación ciudadana incompleta</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LGA arts. 19, 20, 21; Ord. 1584/94 arts. 19-22; Ley 1284 art. 37</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CSJN Mamani, Fallos 340:1193</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retroactiva art. 72 Ley 1284</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3. Vega Plana sin EIA</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Ord. 8390/09; Ord. 1584/94 arts. 17, 19-22; LGA art. 4° (no regresión)</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absoluta art. 71 Ley 1284</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4. Instrumentos sin base normativa</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Art. 19 CN; art. 3° Ley 1284</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por incompetencia arts. 70-72 Ley 1284</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5. Sin coordinación APN</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Ley 22.351; LGA art. 4°</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Conflicto de competencias; impugnación federal</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6. Línea de base insuficiente</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LGA arts. 4°, 12°; Dcto. 2656/99 Anexos III-V; Ley 1284 art. 56</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CSJN Mendoza, Fallos 329:2316</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Imposibilidad de acreditar daño ex post; vicio causal</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7. Vicios en aprobación</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Ley 1284 arts. 50, 70-72; art. 31 CN</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por omisión de dictamen legal previo</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8. Sin consulta indígena</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CN art. 75 inc. 17; Conv. 169 OIT (Ley 24.071); Ley 26.160</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por vicio en el objeto</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9. Kaleuche: OTBN sin verificar</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Ley 26.331 arts. 6°, 14°; Ley 2.780 NQN arts. 1°, 9°; Dcto. 91/2009</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autorizaciones Planos 6 y 8; responsabilidad solidaria Municipio arts. 28-29 LGA</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10. Kaleuche: Plan sin EIA</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Ord. 1584/94 arts. 8°, 9°, 17°, 19-22</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de todos los actos sin Declaración Ambiental previa</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11. Kaleuche: daño ambiental sin recomposición</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LGA arts. 27, 28, 29, 30; Ley 25.831</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CSJN Mendoza, Fallos 329:2316</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Acción art. 30 LGA; prueba del daño en el propio Informe oficial</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12. Kaleuche: FINK sin control</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Ord. 1584/94 arts. 8°, 9°; LGA arts. 28-30</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CSJN Mendoza, Fallos 329:2316</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Omisión antijurídica; responsabilidad estatal</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13. Kaleuche: Ente sin norma habilitante</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Art. 3° Ley 1284; arts. 70-72 Ley 1284</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por incompetencia art. 71 Ley 1284</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14. Kaleuche: reparcelamiento negocial</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Ord. 1584/94; Ley 1284 arts. 70-72; Ley 22.351</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conflictos litigiosos con propietarios no consultados</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15. Chapelco: telecabina sin EIA ni OTBN</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Ley 1875 art. 24°; Dcto. 2656/99; Ord. 1584/94 arts. 9°, 17°; Ley 2.780 NQN; Ley 22.351</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Suspensión inmediata; amparo art. 30 LGA</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16. Chapelco: sin evaluación acumulativa</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LGA arts. 4°, 11°; Ley 1875 art. 24°</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CSJN Salas, Fallos 332:663</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Vicio causal art. 70 Ley 1284</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17. Chapelco: sin consulta mapuche</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Conv. 169 OIT art. 6°; CN art. 75 inc. 17</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Impugnación proyectos 4.1.1.4 y 4.2.4</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18. Chapelco: impacto hídrico no evaluado</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Ley 1875 arts. 3°, 4°; LGA arts. 4°, 12°</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Vicio causal; plan sin soporte hídrico suficiente</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19. Escenarios E1-E5 sin motivación</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LGA art. 4°; Ley 1875 art. 3°; Ley 1284 art. 56</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Impugnación por arbitrariedad manifiesta</w:t>
            </w:r>
          </w:p>
        </w:tc>
      </w:tr>
      <w:tr>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20. Sin transparencia procedimental</w:t>
            </w:r>
          </w:p>
        </w:tc>
        <w:tc>
          <w:tcPr>
            <w:tcW w:type="dxa" w:w="26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Ley 1284 art. 37; Ley 25.831; CN art. 43</w:t>
            </w:r>
          </w:p>
        </w:tc>
        <w:tc>
          <w:tcPr>
            <w:tcW w:type="dxa" w:w="21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Intimación administrativa; amparo informativo</w:t>
            </w:r>
          </w:p>
        </w:tc>
      </w:tr>
      <w:tr>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21. Ley 2.780 omitida como marco vinculante</w:t>
            </w:r>
          </w:p>
        </w:tc>
        <w:tc>
          <w:tcPr>
            <w:tcW w:type="dxa" w:w="26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Ley 2.780 NQN arts. 1°, 9°; Ley 26.331; LGA art. 3°</w:t>
            </w:r>
          </w:p>
        </w:tc>
        <w:tc>
          <w:tcPr>
            <w:tcW w:type="dxa" w:w="210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w:t>
            </w:r>
          </w:p>
        </w:tc>
        <w:tc>
          <w:tcPr>
            <w:tcW w:type="dxa" w:w="2560"/>
            <w:tcBorders>
              <w:top w:val="single" w:color="999999" w:sz="1"/>
              <w:left w:val="single" w:color="999999" w:sz="1"/>
              <w:bottom w:val="single" w:color="999999" w:sz="1"/>
              <w:right w:val="single" w:color="999999" w:sz="1"/>
            </w:tcBorders>
            <w:shd w:fill="F7F7F7" w:val="clear"/>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sz w:val="18"/>
                <w:szCs w:val="18"/>
              </w:rPr>
              <w:t xml:space="preserve">Nulidad absoluta; sin posibilidad de convalidación</w:t>
            </w:r>
          </w:p>
        </w:tc>
      </w:tr>
    </w:tbl>
    <w:p>
      <w:pPr>
        <w:spacing w:after="0" w:before="80"/>
      </w:pPr>
      <w:r>
        <w:t xml:space="preserve"/>
      </w:r>
    </w:p>
    <w:p>
      <w:pPr>
        <w:spacing w:after="120" w:before="320"/>
        <w:jc w:val="left"/>
      </w:pPr>
      <w:r>
        <w:rPr>
          <w:rFonts w:ascii="Times New Roman" w:cs="Times New Roman" w:eastAsia="Times New Roman" w:hAnsi="Times New Roman"/>
          <w:b/>
          <w:bCs/>
          <w:caps/>
          <w:sz w:val="24"/>
          <w:szCs w:val="24"/>
        </w:rPr>
        <w:t xml:space="preserve">V. Conclusiones y recomendaciones</w:t>
      </w:r>
    </w:p>
    <w:p>
      <w:pPr>
        <w:spacing w:after="0" w:before="160"/>
        <w:jc w:val="both"/>
      </w:pPr>
      <w:r>
        <w:rPr>
          <w:rFonts w:ascii="Times New Roman" w:cs="Times New Roman" w:eastAsia="Times New Roman" w:hAnsi="Times New Roman"/>
          <w:sz w:val="24"/>
          <w:szCs w:val="24"/>
        </w:rPr>
        <w:t xml:space="preserve">El Informe Parcial 3 del POT de San Martín de los Andes es un trabajo técnico de envergadura. Las deficiencias que se señalan en este dictamen no apuntan a descalificar el esfuerzo de planificación, sino a advertir con precisión sobre los riesgos jurídicos que su aprobación en el estado actual acarrearía para el Municipio. Las recomendaciones que siguen se ordenan por prioridad jurídica.</w:t>
      </w:r>
    </w:p>
    <w:p>
      <w:pPr>
        <w:spacing w:after="0" w:before="120"/>
        <w:jc w:val="both"/>
      </w:pPr>
      <w:r>
        <w:rPr>
          <w:rFonts w:ascii="Times New Roman" w:cs="Times New Roman" w:eastAsia="Times New Roman" w:hAnsi="Times New Roman"/>
          <w:b/>
          <w:bCs/>
          <w:sz w:val="24"/>
          <w:szCs w:val="24"/>
        </w:rPr>
        <w:t xml:space="preserve">1. </w:t>
      </w:r>
      <w:r>
        <w:rPr>
          <w:rFonts w:ascii="Times New Roman" w:cs="Times New Roman" w:eastAsia="Times New Roman" w:hAnsi="Times New Roman"/>
          <w:b/>
          <w:bCs/>
          <w:i/>
          <w:iCs/>
          <w:sz w:val="24"/>
          <w:szCs w:val="24"/>
        </w:rPr>
        <w:t xml:space="preserve">Realizar la EAE</w:t>
      </w:r>
      <w:r>
        <w:rPr>
          <w:rFonts w:ascii="Times New Roman" w:cs="Times New Roman" w:eastAsia="Times New Roman" w:hAnsi="Times New Roman"/>
          <w:sz w:val="24"/>
          <w:szCs w:val="24"/>
        </w:rPr>
        <w:t xml:space="preserve">: con intervención de la Secretaría de Ambiente de Neuquén y la UTGA municipal, antes de la aprobación formal del POT, documentando el proceso y sus conclusiones en el expediente.</w:t>
      </w:r>
    </w:p>
    <w:p>
      <w:pPr>
        <w:spacing w:after="0" w:before="120"/>
        <w:jc w:val="both"/>
      </w:pPr>
      <w:r>
        <w:rPr>
          <w:rFonts w:ascii="Times New Roman" w:cs="Times New Roman" w:eastAsia="Times New Roman" w:hAnsi="Times New Roman"/>
          <w:b/>
          <w:bCs/>
          <w:sz w:val="24"/>
          <w:szCs w:val="24"/>
        </w:rPr>
        <w:t xml:space="preserve">2. </w:t>
      </w:r>
      <w:r>
        <w:rPr>
          <w:rFonts w:ascii="Times New Roman" w:cs="Times New Roman" w:eastAsia="Times New Roman" w:hAnsi="Times New Roman"/>
          <w:b/>
          <w:bCs/>
          <w:i/>
          <w:iCs/>
          <w:sz w:val="24"/>
          <w:szCs w:val="24"/>
        </w:rPr>
        <w:t xml:space="preserve">Completar las instancias de participación ciudadana</w:t>
      </w:r>
      <w:r>
        <w:rPr>
          <w:rFonts w:ascii="Times New Roman" w:cs="Times New Roman" w:eastAsia="Times New Roman" w:hAnsi="Times New Roman"/>
          <w:sz w:val="24"/>
          <w:szCs w:val="24"/>
        </w:rPr>
        <w:t xml:space="preserve">: previstas en la Tarea 12 y producir un documento de respuesta fundamentada a las observaciones recibidas como condición previa a la aprobación. La participación debe incidir efectivamente en las decisiones, no limitarse a una formalidad.</w:t>
      </w:r>
    </w:p>
    <w:p>
      <w:pPr>
        <w:spacing w:after="0" w:before="120"/>
        <w:jc w:val="both"/>
      </w:pPr>
      <w:r>
        <w:rPr>
          <w:rFonts w:ascii="Times New Roman" w:cs="Times New Roman" w:eastAsia="Times New Roman" w:hAnsi="Times New Roman"/>
          <w:b/>
          <w:bCs/>
          <w:sz w:val="24"/>
          <w:szCs w:val="24"/>
        </w:rPr>
        <w:t xml:space="preserve">3. </w:t>
      </w:r>
      <w:r>
        <w:rPr>
          <w:rFonts w:ascii="Times New Roman" w:cs="Times New Roman" w:eastAsia="Times New Roman" w:hAnsi="Times New Roman"/>
          <w:b/>
          <w:bCs/>
          <w:i/>
          <w:iCs/>
          <w:sz w:val="24"/>
          <w:szCs w:val="24"/>
        </w:rPr>
        <w:t xml:space="preserve">Someter toda propuesta de intervención sobre la Vega Plana</w:t>
      </w:r>
      <w:r>
        <w:rPr>
          <w:rFonts w:ascii="Times New Roman" w:cs="Times New Roman" w:eastAsia="Times New Roman" w:hAnsi="Times New Roman"/>
          <w:sz w:val="24"/>
          <w:szCs w:val="24"/>
        </w:rPr>
        <w:t xml:space="preserve">: al procedimiento completo de EIA con audiencia pública (Ord. 1584/94; Ley 1875) y desvincular la gestión del espacio de esquemas privados hasta tanto el Concejo Municipal sancione la norma habilitante correspondiente.</w:t>
      </w:r>
    </w:p>
    <w:p>
      <w:pPr>
        <w:spacing w:after="0" w:before="120"/>
        <w:jc w:val="both"/>
      </w:pPr>
      <w:r>
        <w:rPr>
          <w:rFonts w:ascii="Times New Roman" w:cs="Times New Roman" w:eastAsia="Times New Roman" w:hAnsi="Times New Roman"/>
          <w:b/>
          <w:bCs/>
          <w:sz w:val="24"/>
          <w:szCs w:val="24"/>
        </w:rPr>
        <w:t xml:space="preserve">4. </w:t>
      </w:r>
      <w:r>
        <w:rPr>
          <w:rFonts w:ascii="Times New Roman" w:cs="Times New Roman" w:eastAsia="Times New Roman" w:hAnsi="Times New Roman"/>
          <w:b/>
          <w:bCs/>
          <w:i/>
          <w:iCs/>
          <w:sz w:val="24"/>
          <w:szCs w:val="24"/>
        </w:rPr>
        <w:t xml:space="preserve">Elaborar un Programa Legislativo</w:t>
      </w:r>
      <w:r>
        <w:rPr>
          <w:rFonts w:ascii="Times New Roman" w:cs="Times New Roman" w:eastAsia="Times New Roman" w:hAnsi="Times New Roman"/>
          <w:sz w:val="24"/>
          <w:szCs w:val="24"/>
        </w:rPr>
        <w:t xml:space="preserve">: que identifique, para cada instrumento propuesto en la Tarea 9, la norma habilitante existente o el proyecto de ordenanza que debería sancionarse previamente.</w:t>
      </w:r>
    </w:p>
    <w:p>
      <w:pPr>
        <w:spacing w:after="0" w:before="120"/>
        <w:jc w:val="both"/>
      </w:pPr>
      <w:r>
        <w:rPr>
          <w:rFonts w:ascii="Times New Roman" w:cs="Times New Roman" w:eastAsia="Times New Roman" w:hAnsi="Times New Roman"/>
          <w:b/>
          <w:bCs/>
          <w:sz w:val="24"/>
          <w:szCs w:val="24"/>
        </w:rPr>
        <w:t xml:space="preserve">5. </w:t>
      </w:r>
      <w:r>
        <w:rPr>
          <w:rFonts w:ascii="Times New Roman" w:cs="Times New Roman" w:eastAsia="Times New Roman" w:hAnsi="Times New Roman"/>
          <w:b/>
          <w:bCs/>
          <w:i/>
          <w:iCs/>
          <w:sz w:val="24"/>
          <w:szCs w:val="24"/>
        </w:rPr>
        <w:t xml:space="preserve">Iniciar formalmente la coordinación con la APN</w:t>
      </w:r>
      <w:r>
        <w:rPr>
          <w:rFonts w:ascii="Times New Roman" w:cs="Times New Roman" w:eastAsia="Times New Roman" w:hAnsi="Times New Roman"/>
          <w:sz w:val="24"/>
          <w:szCs w:val="24"/>
        </w:rPr>
        <w:t xml:space="preserve">: respecto de la interfaz urbano-Parque Nacional Lanín, documentando los acuerdos en el expediente del POT.</w:t>
      </w:r>
    </w:p>
    <w:p>
      <w:pPr>
        <w:spacing w:after="0" w:before="120"/>
        <w:jc w:val="both"/>
      </w:pPr>
      <w:r>
        <w:rPr>
          <w:rFonts w:ascii="Times New Roman" w:cs="Times New Roman" w:eastAsia="Times New Roman" w:hAnsi="Times New Roman"/>
          <w:b/>
          <w:bCs/>
          <w:sz w:val="24"/>
          <w:szCs w:val="24"/>
        </w:rPr>
        <w:t xml:space="preserve">6. </w:t>
      </w:r>
      <w:r>
        <w:rPr>
          <w:rFonts w:ascii="Times New Roman" w:cs="Times New Roman" w:eastAsia="Times New Roman" w:hAnsi="Times New Roman"/>
          <w:b/>
          <w:bCs/>
          <w:i/>
          <w:iCs/>
          <w:sz w:val="24"/>
          <w:szCs w:val="24"/>
        </w:rPr>
        <w:t xml:space="preserve">Completar la línea de base ambiental</w:t>
      </w:r>
      <w:r>
        <w:rPr>
          <w:rFonts w:ascii="Times New Roman" w:cs="Times New Roman" w:eastAsia="Times New Roman" w:hAnsi="Times New Roman"/>
          <w:sz w:val="24"/>
          <w:szCs w:val="24"/>
        </w:rPr>
        <w:t xml:space="preserve">: con los componentes faltantes (biodiversidad georreferenciada, hidrología, capacidad de carga), ajustándola a los Anexos III-V del Decreto 2656/99.</w:t>
      </w:r>
    </w:p>
    <w:p>
      <w:pPr>
        <w:spacing w:after="0" w:before="120"/>
        <w:jc w:val="both"/>
      </w:pPr>
      <w:r>
        <w:rPr>
          <w:rFonts w:ascii="Times New Roman" w:cs="Times New Roman" w:eastAsia="Times New Roman" w:hAnsi="Times New Roman"/>
          <w:b/>
          <w:bCs/>
          <w:sz w:val="24"/>
          <w:szCs w:val="24"/>
        </w:rPr>
        <w:t xml:space="preserve">7. </w:t>
      </w:r>
      <w:r>
        <w:rPr>
          <w:rFonts w:ascii="Times New Roman" w:cs="Times New Roman" w:eastAsia="Times New Roman" w:hAnsi="Times New Roman"/>
          <w:b/>
          <w:bCs/>
          <w:i/>
          <w:iCs/>
          <w:sz w:val="24"/>
          <w:szCs w:val="24"/>
        </w:rPr>
        <w:t xml:space="preserve">Definir la ordenanza del Concejo Municipal</w:t>
      </w:r>
      <w:r>
        <w:rPr>
          <w:rFonts w:ascii="Times New Roman" w:cs="Times New Roman" w:eastAsia="Times New Roman" w:hAnsi="Times New Roman"/>
          <w:sz w:val="24"/>
          <w:szCs w:val="24"/>
        </w:rPr>
        <w:t xml:space="preserve">: como instrumento de aprobación del POT, identificar las normas que deroga o modifica, establecer el régimen de publicidad en el Boletín Oficial y obtener el dictamen jurídico previo del artículo 50 de la Ley 1284.</w:t>
      </w:r>
    </w:p>
    <w:p>
      <w:pPr>
        <w:spacing w:after="0" w:before="120"/>
        <w:jc w:val="both"/>
      </w:pPr>
      <w:r>
        <w:rPr>
          <w:rFonts w:ascii="Times New Roman" w:cs="Times New Roman" w:eastAsia="Times New Roman" w:hAnsi="Times New Roman"/>
          <w:b/>
          <w:bCs/>
          <w:sz w:val="24"/>
          <w:szCs w:val="24"/>
        </w:rPr>
        <w:t xml:space="preserve">8. </w:t>
      </w:r>
      <w:r>
        <w:rPr>
          <w:rFonts w:ascii="Times New Roman" w:cs="Times New Roman" w:eastAsia="Times New Roman" w:hAnsi="Times New Roman"/>
          <w:b/>
          <w:bCs/>
          <w:i/>
          <w:iCs/>
          <w:sz w:val="24"/>
          <w:szCs w:val="24"/>
        </w:rPr>
        <w:t xml:space="preserve">Iniciar el proceso de consulta previa</w:t>
      </w:r>
      <w:r>
        <w:rPr>
          <w:rFonts w:ascii="Times New Roman" w:cs="Times New Roman" w:eastAsia="Times New Roman" w:hAnsi="Times New Roman"/>
          <w:sz w:val="24"/>
          <w:szCs w:val="24"/>
        </w:rPr>
        <w:t xml:space="preserve">: con las comunidades mapuche del área de influencia conforme al Convenio 169 OIT y al artículo 75 inciso 17 CN, documentando formalmente el proceso y sus resultados antes de la aprobación.</w:t>
      </w:r>
    </w:p>
    <w:p>
      <w:pPr>
        <w:spacing w:after="0" w:before="120"/>
        <w:jc w:val="both"/>
      </w:pPr>
      <w:r>
        <w:rPr>
          <w:rFonts w:ascii="Times New Roman" w:cs="Times New Roman" w:eastAsia="Times New Roman" w:hAnsi="Times New Roman"/>
          <w:b/>
          <w:bCs/>
          <w:sz w:val="24"/>
          <w:szCs w:val="24"/>
        </w:rPr>
        <w:t xml:space="preserve">9. </w:t>
      </w:r>
      <w:r>
        <w:rPr>
          <w:rFonts w:ascii="Times New Roman" w:cs="Times New Roman" w:eastAsia="Times New Roman" w:hAnsi="Times New Roman"/>
          <w:b/>
          <w:bCs/>
          <w:i/>
          <w:iCs/>
          <w:sz w:val="24"/>
          <w:szCs w:val="24"/>
        </w:rPr>
        <w:t xml:space="preserve">Verificar ante la autoridad provincial la categoría OTBN</w:t>
      </w:r>
      <w:r>
        <w:rPr>
          <w:rFonts w:ascii="Times New Roman" w:cs="Times New Roman" w:eastAsia="Times New Roman" w:hAnsi="Times New Roman"/>
          <w:sz w:val="24"/>
          <w:szCs w:val="24"/>
        </w:rPr>
        <w:t xml:space="preserve">: de los Planos N° 6, 8 y 9 de Kaleuche y dictar de inmediato medidas de paralización cautelar de obras sobre ejemplares centenarios en el Plano N° 6.</w:t>
      </w:r>
    </w:p>
    <w:p>
      <w:pPr>
        <w:spacing w:after="0" w:before="120"/>
        <w:jc w:val="both"/>
      </w:pPr>
      <w:r>
        <w:rPr>
          <w:rFonts w:ascii="Times New Roman" w:cs="Times New Roman" w:eastAsia="Times New Roman" w:hAnsi="Times New Roman"/>
          <w:b/>
          <w:bCs/>
          <w:sz w:val="24"/>
          <w:szCs w:val="24"/>
        </w:rPr>
        <w:t xml:space="preserve">10. </w:t>
      </w:r>
      <w:r>
        <w:rPr>
          <w:rFonts w:ascii="Times New Roman" w:cs="Times New Roman" w:eastAsia="Times New Roman" w:hAnsi="Times New Roman"/>
          <w:b/>
          <w:bCs/>
          <w:i/>
          <w:iCs/>
          <w:sz w:val="24"/>
          <w:szCs w:val="24"/>
        </w:rPr>
        <w:t xml:space="preserve">Tramitar ante la UTGA la EIA completa</w:t>
      </w:r>
      <w:r>
        <w:rPr>
          <w:rFonts w:ascii="Times New Roman" w:cs="Times New Roman" w:eastAsia="Times New Roman" w:hAnsi="Times New Roman"/>
          <w:sz w:val="24"/>
          <w:szCs w:val="24"/>
        </w:rPr>
        <w:t xml:space="preserve">: del Plan de Instrumentación de Kaleuche (Ord. 1584/94, arts. 17-22), con EEIA, audiencia pública y Declaración Ambiental por Resolución Conjunta del Ejecutivo y el Concejo Municipal, como condición de inicio de cualquier obra o acuerdo.</w:t>
      </w:r>
    </w:p>
    <w:p>
      <w:pPr>
        <w:spacing w:after="0" w:before="120"/>
        <w:jc w:val="both"/>
      </w:pPr>
      <w:r>
        <w:rPr>
          <w:rFonts w:ascii="Times New Roman" w:cs="Times New Roman" w:eastAsia="Times New Roman" w:hAnsi="Times New Roman"/>
          <w:b/>
          <w:bCs/>
          <w:sz w:val="24"/>
          <w:szCs w:val="24"/>
        </w:rPr>
        <w:t xml:space="preserve">11. </w:t>
      </w:r>
      <w:r>
        <w:rPr>
          <w:rFonts w:ascii="Times New Roman" w:cs="Times New Roman" w:eastAsia="Times New Roman" w:hAnsi="Times New Roman"/>
          <w:b/>
          <w:bCs/>
          <w:i/>
          <w:iCs/>
          <w:sz w:val="24"/>
          <w:szCs w:val="24"/>
        </w:rPr>
        <w:t xml:space="preserve">Publicar el estado de contaminación de napas y cursos de agua</w:t>
      </w:r>
      <w:r>
        <w:rPr>
          <w:rFonts w:ascii="Times New Roman" w:cs="Times New Roman" w:eastAsia="Times New Roman" w:hAnsi="Times New Roman"/>
          <w:sz w:val="24"/>
          <w:szCs w:val="24"/>
        </w:rPr>
        <w:t xml:space="preserve">: (art. 27 LGA; Ley 25.831) e incorporar al Plan medidas de recomposición del daño existente —no sólo medidas preventivas— con asignación de responsabilidades y cronograma de ejecución.</w:t>
      </w:r>
    </w:p>
    <w:p>
      <w:pPr>
        <w:spacing w:after="0" w:before="120"/>
        <w:jc w:val="both"/>
      </w:pPr>
      <w:r>
        <w:rPr>
          <w:rFonts w:ascii="Times New Roman" w:cs="Times New Roman" w:eastAsia="Times New Roman" w:hAnsi="Times New Roman"/>
          <w:b/>
          <w:bCs/>
          <w:sz w:val="24"/>
          <w:szCs w:val="24"/>
        </w:rPr>
        <w:t xml:space="preserve">12. </w:t>
      </w:r>
      <w:r>
        <w:rPr>
          <w:rFonts w:ascii="Times New Roman" w:cs="Times New Roman" w:eastAsia="Times New Roman" w:hAnsi="Times New Roman"/>
          <w:b/>
          <w:bCs/>
          <w:i/>
          <w:iCs/>
          <w:sz w:val="24"/>
          <w:szCs w:val="24"/>
        </w:rPr>
        <w:t xml:space="preserve">Crear el Ente Coordinador para Kaleuche mediante ordenanza</w:t>
      </w:r>
      <w:r>
        <w:rPr>
          <w:rFonts w:ascii="Times New Roman" w:cs="Times New Roman" w:eastAsia="Times New Roman" w:hAnsi="Times New Roman"/>
          <w:sz w:val="24"/>
          <w:szCs w:val="24"/>
        </w:rPr>
        <w:t xml:space="preserve">: del Concejo Municipal que establezca su naturaleza jurídica, atribuciones, mecanismos de control externo y responsabilidades de sus integrantes.</w:t>
      </w:r>
    </w:p>
    <w:p>
      <w:pPr>
        <w:spacing w:after="0" w:before="120"/>
        <w:jc w:val="both"/>
      </w:pPr>
      <w:r>
        <w:rPr>
          <w:rFonts w:ascii="Times New Roman" w:cs="Times New Roman" w:eastAsia="Times New Roman" w:hAnsi="Times New Roman"/>
          <w:b/>
          <w:bCs/>
          <w:sz w:val="24"/>
          <w:szCs w:val="24"/>
        </w:rPr>
        <w:t xml:space="preserve">13. </w:t>
      </w:r>
      <w:r>
        <w:rPr>
          <w:rFonts w:ascii="Times New Roman" w:cs="Times New Roman" w:eastAsia="Times New Roman" w:hAnsi="Times New Roman"/>
          <w:b/>
          <w:bCs/>
          <w:i/>
          <w:iCs/>
          <w:sz w:val="24"/>
          <w:szCs w:val="24"/>
        </w:rPr>
        <w:t xml:space="preserve">Encuadrar el reparcelamiento de los Planos N° 8 y N° 10</w:t>
      </w:r>
      <w:r>
        <w:rPr>
          <w:rFonts w:ascii="Times New Roman" w:cs="Times New Roman" w:eastAsia="Times New Roman" w:hAnsi="Times New Roman"/>
          <w:sz w:val="24"/>
          <w:szCs w:val="24"/>
        </w:rPr>
        <w:t xml:space="preserve">: en un procedimiento formal con ordenanza habilitante, EIA específica, participación ciudadana de propietarios afectados y coordinación previa con la APN respecto del Plano N° 6 y la Laguna Rosales.</w:t>
      </w:r>
    </w:p>
    <w:p>
      <w:pPr>
        <w:spacing w:after="0" w:before="120"/>
        <w:jc w:val="both"/>
      </w:pPr>
      <w:r>
        <w:rPr>
          <w:rFonts w:ascii="Times New Roman" w:cs="Times New Roman" w:eastAsia="Times New Roman" w:hAnsi="Times New Roman"/>
          <w:b/>
          <w:bCs/>
          <w:sz w:val="24"/>
          <w:szCs w:val="24"/>
        </w:rPr>
        <w:t xml:space="preserve">14. </w:t>
      </w:r>
      <w:r>
        <w:rPr>
          <w:rFonts w:ascii="Times New Roman" w:cs="Times New Roman" w:eastAsia="Times New Roman" w:hAnsi="Times New Roman"/>
          <w:b/>
          <w:bCs/>
          <w:i/>
          <w:iCs/>
          <w:sz w:val="24"/>
          <w:szCs w:val="24"/>
        </w:rPr>
        <w:t xml:space="preserve">Someter las obras de Chapelco a EIA completa</w:t>
      </w:r>
      <w:r>
        <w:rPr>
          <w:rFonts w:ascii="Times New Roman" w:cs="Times New Roman" w:eastAsia="Times New Roman" w:hAnsi="Times New Roman"/>
          <w:sz w:val="24"/>
          <w:szCs w:val="24"/>
        </w:rPr>
        <w:t xml:space="preserve">: con audiencia pública (Ley 1875; Ord. 1584/94), verificar compatibilidad con la Ley 2.780 (OTBN) e iniciar coordinación formal con la APN respecto de la zona de amortiguamiento del Parque Nacional Lanín.</w:t>
      </w:r>
    </w:p>
    <w:p>
      <w:pPr>
        <w:spacing w:after="0" w:before="120"/>
        <w:jc w:val="both"/>
      </w:pPr>
      <w:r>
        <w:rPr>
          <w:rFonts w:ascii="Times New Roman" w:cs="Times New Roman" w:eastAsia="Times New Roman" w:hAnsi="Times New Roman"/>
          <w:b/>
          <w:bCs/>
          <w:sz w:val="24"/>
          <w:szCs w:val="24"/>
        </w:rPr>
        <w:t xml:space="preserve">15. </w:t>
      </w:r>
      <w:r>
        <w:rPr>
          <w:rFonts w:ascii="Times New Roman" w:cs="Times New Roman" w:eastAsia="Times New Roman" w:hAnsi="Times New Roman"/>
          <w:b/>
          <w:bCs/>
          <w:i/>
          <w:iCs/>
          <w:sz w:val="24"/>
          <w:szCs w:val="24"/>
        </w:rPr>
        <w:t xml:space="preserve">Requerir a la autoridad provincial la acreditación de la EIA</w:t>
      </w:r>
      <w:r>
        <w:rPr>
          <w:rFonts w:ascii="Times New Roman" w:cs="Times New Roman" w:eastAsia="Times New Roman" w:hAnsi="Times New Roman"/>
          <w:sz w:val="24"/>
          <w:szCs w:val="24"/>
        </w:rPr>
        <w:t xml:space="preserve">: de la ampliación de la concesión ante la Secretaría de Ambiente de Neuquén, con evaluación de impacto hídrico acumulativo sobre los arroyos Chapelco Chico y Chapelco Grande.</w:t>
      </w:r>
    </w:p>
    <w:p>
      <w:pPr>
        <w:spacing w:after="0" w:before="120"/>
        <w:jc w:val="both"/>
      </w:pPr>
      <w:r>
        <w:rPr>
          <w:rFonts w:ascii="Times New Roman" w:cs="Times New Roman" w:eastAsia="Times New Roman" w:hAnsi="Times New Roman"/>
          <w:b/>
          <w:bCs/>
          <w:sz w:val="24"/>
          <w:szCs w:val="24"/>
        </w:rPr>
        <w:t xml:space="preserve">16. </w:t>
      </w:r>
      <w:r>
        <w:rPr>
          <w:rFonts w:ascii="Times New Roman" w:cs="Times New Roman" w:eastAsia="Times New Roman" w:hAnsi="Times New Roman"/>
          <w:b/>
          <w:bCs/>
          <w:i/>
          <w:iCs/>
          <w:sz w:val="24"/>
          <w:szCs w:val="24"/>
        </w:rPr>
        <w:t xml:space="preserve">Iniciar consulta previa con las comunidades mapuche</w:t>
      </w:r>
      <w:r>
        <w:rPr>
          <w:rFonts w:ascii="Times New Roman" w:cs="Times New Roman" w:eastAsia="Times New Roman" w:hAnsi="Times New Roman"/>
          <w:sz w:val="24"/>
          <w:szCs w:val="24"/>
        </w:rPr>
        <w:t xml:space="preserve">: asentadas en las laderas del Cerro Chapelco respecto de los proyectos 4.1.1.4 (pavimentación RP19) y 4.2.4 (telecabina), conforme al Convenio 169 OIT.</w:t>
      </w:r>
    </w:p>
    <w:p>
      <w:pPr>
        <w:spacing w:after="0" w:before="120"/>
        <w:jc w:val="both"/>
      </w:pPr>
      <w:r>
        <w:rPr>
          <w:rFonts w:ascii="Times New Roman" w:cs="Times New Roman" w:eastAsia="Times New Roman" w:hAnsi="Times New Roman"/>
          <w:b/>
          <w:bCs/>
          <w:sz w:val="24"/>
          <w:szCs w:val="24"/>
        </w:rPr>
        <w:t xml:space="preserve">17. </w:t>
      </w:r>
      <w:r>
        <w:rPr>
          <w:rFonts w:ascii="Times New Roman" w:cs="Times New Roman" w:eastAsia="Times New Roman" w:hAnsi="Times New Roman"/>
          <w:b/>
          <w:bCs/>
          <w:i/>
          <w:iCs/>
          <w:sz w:val="24"/>
          <w:szCs w:val="24"/>
        </w:rPr>
        <w:t xml:space="preserve">Verificar la categoría OTBN de cada zona afectada por el Plan</w:t>
      </w:r>
      <w:r>
        <w:rPr>
          <w:rFonts w:ascii="Times New Roman" w:cs="Times New Roman" w:eastAsia="Times New Roman" w:hAnsi="Times New Roman"/>
          <w:sz w:val="24"/>
          <w:szCs w:val="24"/>
        </w:rPr>
        <w:t xml:space="preserve">: —incluidas las faldas del Cerro Chapelco— y motivar expresamente en el expediente la elección de escenario de aptitud del suelo (E1-E5) para cada sector, con fundamento técnico-científico suficiente (art. 56, Ley 1284 NQN).</w:t>
      </w:r>
    </w:p>
    <w:p>
      <w:pPr>
        <w:spacing w:after="0" w:before="120"/>
        <w:jc w:val="both"/>
      </w:pPr>
      <w:r>
        <w:rPr>
          <w:rFonts w:ascii="Times New Roman" w:cs="Times New Roman" w:eastAsia="Times New Roman" w:hAnsi="Times New Roman"/>
          <w:b/>
          <w:bCs/>
          <w:sz w:val="24"/>
          <w:szCs w:val="24"/>
        </w:rPr>
        <w:t xml:space="preserve">18. </w:t>
      </w:r>
      <w:r>
        <w:rPr>
          <w:rFonts w:ascii="Times New Roman" w:cs="Times New Roman" w:eastAsia="Times New Roman" w:hAnsi="Times New Roman"/>
          <w:b/>
          <w:bCs/>
          <w:i/>
          <w:iCs/>
          <w:sz w:val="24"/>
          <w:szCs w:val="24"/>
        </w:rPr>
        <w:t xml:space="preserve">Implementar un expediente digital de acceso público</w:t>
      </w:r>
      <w:r>
        <w:rPr>
          <w:rFonts w:ascii="Times New Roman" w:cs="Times New Roman" w:eastAsia="Times New Roman" w:hAnsi="Times New Roman"/>
          <w:sz w:val="24"/>
          <w:szCs w:val="24"/>
        </w:rPr>
        <w:t xml:space="preserve">: con toda la documentación del proceso de planificación (informes, estudios de base, observaciones, actas de participación, dictámenes), conforme a la Ley 25.831 y al artículo 37 de la Ley 1284.</w:t>
      </w:r>
    </w:p>
    <w:p>
      <w:pPr>
        <w:spacing w:after="0" w:before="80"/>
      </w:pPr>
      <w:r>
        <w:t xml:space="preserve"/>
      </w:r>
    </w:p>
    <w:p>
      <w:pPr>
        <w:spacing w:after="120" w:before="320"/>
        <w:jc w:val="left"/>
      </w:pPr>
      <w:r>
        <w:rPr>
          <w:rFonts w:ascii="Times New Roman" w:cs="Times New Roman" w:eastAsia="Times New Roman" w:hAnsi="Times New Roman"/>
          <w:b/>
          <w:bCs/>
          <w:caps/>
          <w:sz w:val="24"/>
          <w:szCs w:val="24"/>
        </w:rPr>
        <w:t xml:space="preserve">VI. Fuentes citadas</w:t>
      </w:r>
    </w:p>
    <w:p>
      <w:pPr>
        <w:spacing w:after="80" w:before="240"/>
        <w:jc w:val="left"/>
      </w:pPr>
      <w:r>
        <w:rPr>
          <w:rFonts w:ascii="Times New Roman" w:cs="Times New Roman" w:eastAsia="Times New Roman" w:hAnsi="Times New Roman"/>
          <w:b/>
          <w:bCs/>
          <w:sz w:val="24"/>
          <w:szCs w:val="24"/>
        </w:rPr>
        <w:t xml:space="preserve">A. Jurisprudencia</w:t>
      </w:r>
    </w:p>
    <w:p>
      <w:pPr>
        <w:spacing w:after="0" w:before="80"/>
        <w:ind w:left="360"/>
        <w:jc w:val="both"/>
      </w:pPr>
      <w:r>
        <w:rPr>
          <w:rFonts w:ascii="Times New Roman" w:cs="Times New Roman" w:eastAsia="Times New Roman" w:hAnsi="Times New Roman"/>
          <w:sz w:val="24"/>
          <w:szCs w:val="24"/>
        </w:rPr>
        <w:t xml:space="preserve">[1] CSJN, "Salas, Dino y otros c/ Salta, Provincia de y Estado Nacional", 26/03/2009, Fallos: 332:663.</w:t>
      </w:r>
    </w:p>
    <w:p>
      <w:pPr>
        <w:spacing w:after="0" w:before="80"/>
        <w:ind w:left="360"/>
        <w:jc w:val="both"/>
      </w:pPr>
      <w:r>
        <w:rPr>
          <w:rFonts w:ascii="Times New Roman" w:cs="Times New Roman" w:eastAsia="Times New Roman" w:hAnsi="Times New Roman"/>
          <w:sz w:val="24"/>
          <w:szCs w:val="24"/>
        </w:rPr>
        <w:t xml:space="preserve">[2] CSJN, "Mamani, Agustín Pío y otros c/ Estado Provincial — Dirección Provincial de Políticas Ambientales y Recursos Naturales de Jujuy y la Empresa Cram S.A.", 05/09/2017, CSJ 318/2014 (50-M), Fallos: 340:1193.</w:t>
      </w:r>
    </w:p>
    <w:p>
      <w:pPr>
        <w:spacing w:after="0" w:before="80"/>
        <w:ind w:left="360"/>
        <w:jc w:val="both"/>
      </w:pPr>
      <w:r>
        <w:rPr>
          <w:rFonts w:ascii="Times New Roman" w:cs="Times New Roman" w:eastAsia="Times New Roman" w:hAnsi="Times New Roman"/>
          <w:sz w:val="24"/>
          <w:szCs w:val="24"/>
        </w:rPr>
        <w:t xml:space="preserve">[3] CSJN, "Mendoza, Beatriz Silvia y otros c/ Estado Nacional y otros", 20/06/2006, Fallos: 329:2316.</w:t>
      </w:r>
    </w:p>
    <w:p>
      <w:pPr>
        <w:spacing w:after="80" w:before="240"/>
        <w:jc w:val="left"/>
      </w:pPr>
      <w:r>
        <w:rPr>
          <w:rFonts w:ascii="Times New Roman" w:cs="Times New Roman" w:eastAsia="Times New Roman" w:hAnsi="Times New Roman"/>
          <w:b/>
          <w:bCs/>
          <w:sz w:val="24"/>
          <w:szCs w:val="24"/>
        </w:rPr>
        <w:t xml:space="preserve">B. Normativa</w:t>
      </w:r>
    </w:p>
    <w:p>
      <w:pPr>
        <w:spacing w:after="0" w:before="60"/>
        <w:ind w:left="360"/>
        <w:jc w:val="both"/>
      </w:pPr>
      <w:r>
        <w:rPr>
          <w:rFonts w:ascii="Times New Roman" w:cs="Times New Roman" w:eastAsia="Times New Roman" w:hAnsi="Times New Roman"/>
          <w:sz w:val="24"/>
          <w:szCs w:val="24"/>
        </w:rPr>
        <w:t xml:space="preserve">[4] Constitución Nacional, arts. 41, 43, 75 inc. 17.</w:t>
      </w:r>
    </w:p>
    <w:p>
      <w:pPr>
        <w:spacing w:after="0" w:before="60"/>
        <w:ind w:left="360"/>
        <w:jc w:val="both"/>
      </w:pPr>
      <w:r>
        <w:rPr>
          <w:rFonts w:ascii="Times New Roman" w:cs="Times New Roman" w:eastAsia="Times New Roman" w:hAnsi="Times New Roman"/>
          <w:sz w:val="24"/>
          <w:szCs w:val="24"/>
        </w:rPr>
        <w:t xml:space="preserve">[5] Constitución de Neuquén, arts. 52 y 53.</w:t>
      </w:r>
    </w:p>
    <w:p>
      <w:pPr>
        <w:spacing w:after="0" w:before="60"/>
        <w:ind w:left="360"/>
        <w:jc w:val="both"/>
      </w:pPr>
      <w:r>
        <w:rPr>
          <w:rFonts w:ascii="Times New Roman" w:cs="Times New Roman" w:eastAsia="Times New Roman" w:hAnsi="Times New Roman"/>
          <w:sz w:val="24"/>
          <w:szCs w:val="24"/>
        </w:rPr>
        <w:t xml:space="preserve">[6] Ley Nacional 25.675 (Ley General del Ambiente).</w:t>
      </w:r>
    </w:p>
    <w:p>
      <w:pPr>
        <w:spacing w:after="0" w:before="60"/>
        <w:ind w:left="360"/>
        <w:jc w:val="both"/>
      </w:pPr>
      <w:r>
        <w:rPr>
          <w:rFonts w:ascii="Times New Roman" w:cs="Times New Roman" w:eastAsia="Times New Roman" w:hAnsi="Times New Roman"/>
          <w:sz w:val="24"/>
          <w:szCs w:val="24"/>
        </w:rPr>
        <w:t xml:space="preserve">[7] Ley Nacional 25.831 (Acceso a la información pública ambiental).</w:t>
      </w:r>
    </w:p>
    <w:p>
      <w:pPr>
        <w:spacing w:after="0" w:before="60"/>
        <w:ind w:left="360"/>
        <w:jc w:val="both"/>
      </w:pPr>
      <w:r>
        <w:rPr>
          <w:rFonts w:ascii="Times New Roman" w:cs="Times New Roman" w:eastAsia="Times New Roman" w:hAnsi="Times New Roman"/>
          <w:sz w:val="24"/>
          <w:szCs w:val="24"/>
        </w:rPr>
        <w:t xml:space="preserve">[8] Ley Nacional 26.331 (Presupuestos mínimos de protección de bosques nativos). Decreto Reglamentario 91/2009.</w:t>
      </w:r>
    </w:p>
    <w:p>
      <w:pPr>
        <w:spacing w:after="0" w:before="60"/>
        <w:ind w:left="360"/>
        <w:jc w:val="both"/>
      </w:pPr>
      <w:r>
        <w:rPr>
          <w:rFonts w:ascii="Times New Roman" w:cs="Times New Roman" w:eastAsia="Times New Roman" w:hAnsi="Times New Roman"/>
          <w:sz w:val="24"/>
          <w:szCs w:val="24"/>
        </w:rPr>
        <w:t xml:space="preserve">[9] Ley Nacional 22.351 (Parques Nacionales).</w:t>
      </w:r>
    </w:p>
    <w:p>
      <w:pPr>
        <w:spacing w:after="0" w:before="60"/>
        <w:ind w:left="360"/>
        <w:jc w:val="both"/>
      </w:pPr>
      <w:r>
        <w:rPr>
          <w:rFonts w:ascii="Times New Roman" w:cs="Times New Roman" w:eastAsia="Times New Roman" w:hAnsi="Times New Roman"/>
          <w:sz w:val="24"/>
          <w:szCs w:val="24"/>
        </w:rPr>
        <w:t xml:space="preserve">[10] Ley Nacional 26.160 (Emergencia territorial indígena).</w:t>
      </w:r>
    </w:p>
    <w:p>
      <w:pPr>
        <w:spacing w:after="0" w:before="60"/>
        <w:ind w:left="360"/>
        <w:jc w:val="both"/>
      </w:pPr>
      <w:r>
        <w:rPr>
          <w:rFonts w:ascii="Times New Roman" w:cs="Times New Roman" w:eastAsia="Times New Roman" w:hAnsi="Times New Roman"/>
          <w:sz w:val="24"/>
          <w:szCs w:val="24"/>
        </w:rPr>
        <w:t xml:space="preserve">[11] Convenio 169 OIT (aprobado por Ley 24.071).</w:t>
      </w:r>
    </w:p>
    <w:p>
      <w:pPr>
        <w:spacing w:after="0" w:before="60"/>
        <w:ind w:left="360"/>
        <w:jc w:val="both"/>
      </w:pPr>
      <w:r>
        <w:rPr>
          <w:rFonts w:ascii="Times New Roman" w:cs="Times New Roman" w:eastAsia="Times New Roman" w:hAnsi="Times New Roman"/>
          <w:sz w:val="24"/>
          <w:szCs w:val="24"/>
        </w:rPr>
        <w:t xml:space="preserve">[12] Ley Provincial Neuquén 1875, T.O. Ley 2267 (Protección Ambiental). Decreto Reglamentario 2656/99.</w:t>
      </w:r>
    </w:p>
    <w:p>
      <w:pPr>
        <w:spacing w:after="0" w:before="60"/>
        <w:ind w:left="360"/>
        <w:jc w:val="both"/>
      </w:pPr>
      <w:r>
        <w:rPr>
          <w:rFonts w:ascii="Times New Roman" w:cs="Times New Roman" w:eastAsia="Times New Roman" w:hAnsi="Times New Roman"/>
          <w:sz w:val="24"/>
          <w:szCs w:val="24"/>
        </w:rPr>
        <w:t xml:space="preserve">[13] Ley Provincial Neuquén 2.780 (Ordenamiento Territorial de Bosques Nativos — OTBN).</w:t>
      </w:r>
    </w:p>
    <w:p>
      <w:pPr>
        <w:spacing w:after="0" w:before="60"/>
        <w:ind w:left="360"/>
        <w:jc w:val="both"/>
      </w:pPr>
      <w:r>
        <w:rPr>
          <w:rFonts w:ascii="Times New Roman" w:cs="Times New Roman" w:eastAsia="Times New Roman" w:hAnsi="Times New Roman"/>
          <w:sz w:val="24"/>
          <w:szCs w:val="24"/>
        </w:rPr>
        <w:t xml:space="preserve">[14] Ley Provincial Neuquén 2615 (Uso del Suelo y Desarrollo Territorial).</w:t>
      </w:r>
    </w:p>
    <w:p>
      <w:pPr>
        <w:spacing w:after="0" w:before="60"/>
        <w:ind w:left="360"/>
        <w:jc w:val="both"/>
      </w:pPr>
      <w:r>
        <w:rPr>
          <w:rFonts w:ascii="Times New Roman" w:cs="Times New Roman" w:eastAsia="Times New Roman" w:hAnsi="Times New Roman"/>
          <w:sz w:val="24"/>
          <w:szCs w:val="24"/>
        </w:rPr>
        <w:t xml:space="preserve">[15] Ley Provincial Neuquén 1284 (Procedimiento Administrativo).</w:t>
      </w:r>
    </w:p>
    <w:p>
      <w:pPr>
        <w:spacing w:after="0" w:before="60"/>
        <w:ind w:left="360"/>
        <w:jc w:val="both"/>
      </w:pPr>
      <w:r>
        <w:rPr>
          <w:rFonts w:ascii="Times New Roman" w:cs="Times New Roman" w:eastAsia="Times New Roman" w:hAnsi="Times New Roman"/>
          <w:sz w:val="24"/>
          <w:szCs w:val="24"/>
        </w:rPr>
        <w:t xml:space="preserve">[16] Ordenanza Municipal SMA N° 1584/94 (EIA local).</w:t>
      </w:r>
    </w:p>
    <w:p>
      <w:pPr>
        <w:spacing w:after="0" w:before="60"/>
        <w:ind w:left="360"/>
        <w:jc w:val="both"/>
      </w:pPr>
      <w:r>
        <w:rPr>
          <w:rFonts w:ascii="Times New Roman" w:cs="Times New Roman" w:eastAsia="Times New Roman" w:hAnsi="Times New Roman"/>
          <w:sz w:val="24"/>
          <w:szCs w:val="24"/>
        </w:rPr>
        <w:t xml:space="preserve">[17] Ordenanza Municipal SMA N° 1723/2005 (Patrimonio ambiental).</w:t>
      </w:r>
    </w:p>
    <w:p>
      <w:pPr>
        <w:spacing w:after="0" w:before="60"/>
        <w:ind w:left="360"/>
        <w:jc w:val="both"/>
      </w:pPr>
      <w:r>
        <w:rPr>
          <w:rFonts w:ascii="Times New Roman" w:cs="Times New Roman" w:eastAsia="Times New Roman" w:hAnsi="Times New Roman"/>
          <w:sz w:val="24"/>
          <w:szCs w:val="24"/>
        </w:rPr>
        <w:t xml:space="preserve">[18] Ordenanza Municipal SMA N° 8390/09 (Protección Vega Plana).</w:t>
      </w:r>
    </w:p>
    <w:p>
      <w:pPr>
        <w:spacing w:after="80" w:before="240"/>
        <w:jc w:val="left"/>
      </w:pPr>
      <w:r>
        <w:rPr>
          <w:rFonts w:ascii="Times New Roman" w:cs="Times New Roman" w:eastAsia="Times New Roman" w:hAnsi="Times New Roman"/>
          <w:b/>
          <w:bCs/>
          <w:sz w:val="24"/>
          <w:szCs w:val="24"/>
        </w:rPr>
        <w:t xml:space="preserve">C. Doctrina</w:t>
      </w:r>
    </w:p>
    <w:p>
      <w:pPr>
        <w:spacing w:after="0" w:before="60"/>
        <w:ind w:left="360"/>
        <w:jc w:val="both"/>
      </w:pPr>
      <w:r>
        <w:rPr>
          <w:rFonts w:ascii="Times New Roman" w:cs="Times New Roman" w:eastAsia="Times New Roman" w:hAnsi="Times New Roman"/>
          <w:sz w:val="24"/>
          <w:szCs w:val="24"/>
        </w:rPr>
        <w:t xml:space="preserve">[19] Colombo, Agustín P., "La incorporación de la Evaluación Ambiental Estratégica (EAE) a la Ley 25.675", Microjuris Argentina al Día, MJ-DOC-12371-AR, 14/03/2018.</w:t>
      </w:r>
    </w:p>
    <w:p>
      <w:pPr>
        <w:spacing w:after="0" w:before="60"/>
        <w:ind w:left="360"/>
        <w:jc w:val="both"/>
      </w:pPr>
      <w:r>
        <w:rPr>
          <w:rFonts w:ascii="Times New Roman" w:cs="Times New Roman" w:eastAsia="Times New Roman" w:hAnsi="Times New Roman"/>
          <w:sz w:val="24"/>
          <w:szCs w:val="24"/>
        </w:rPr>
        <w:t xml:space="preserve">[20] Bibiloni, Homero M., "Ordenamiento Ambiental del Territorio. La EIA y la EAE como Instrumentos de Gestión", Revista Estado y Políticas Públicas N° 17, FLACSO, oct. 2021-abr. 2022, pp. 103-127.</w:t>
      </w:r>
    </w:p>
    <w:p>
      <w:pPr>
        <w:spacing w:after="0" w:before="60"/>
        <w:ind w:left="360"/>
        <w:jc w:val="both"/>
      </w:pPr>
      <w:r>
        <w:rPr>
          <w:rFonts w:ascii="Times New Roman" w:cs="Times New Roman" w:eastAsia="Times New Roman" w:hAnsi="Times New Roman"/>
          <w:sz w:val="24"/>
          <w:szCs w:val="24"/>
        </w:rPr>
        <w:t xml:space="preserve">[21] Walsh, Juan Rodrigo, "El Ordenamiento Territorial como herramienta para el desarrollo sustentable", en Actas del III Encuentro del FAOS, Comisión II: Desarrollo sustentable en América Latina, 2009, pp. 35-41.</w:t>
      </w:r>
    </w:p>
    <w:p>
      <w:pPr>
        <w:spacing w:after="0" w:before="60"/>
        <w:ind w:left="360"/>
        <w:jc w:val="both"/>
      </w:pPr>
      <w:r>
        <w:rPr>
          <w:rFonts w:ascii="Times New Roman" w:cs="Times New Roman" w:eastAsia="Times New Roman" w:hAnsi="Times New Roman"/>
          <w:sz w:val="24"/>
          <w:szCs w:val="24"/>
        </w:rPr>
        <w:t xml:space="preserve">[22] Sabsay, Daniel y Di Paola, María Eugenia, "El federalismo y la nueva ley general de ambiente", ADLA 2003-A.</w:t>
      </w:r>
    </w:p>
    <w:p>
      <w:pPr>
        <w:spacing w:after="0" w:before="80"/>
      </w:pPr>
      <w:r>
        <w:t xml:space="preserve"/>
      </w:r>
    </w:p>
    <w:p>
      <w:pPr>
        <w:spacing w:after="0" w:before="80"/>
      </w:pPr>
      <w:r>
        <w:t xml:space="preserve"/>
      </w:r>
    </w:p>
    <w:p>
      <w:pPr>
        <w:spacing w:after="0" w:before="200"/>
        <w:jc w:val="center"/>
      </w:pPr>
      <w:r>
        <w:rPr>
          <w:rFonts w:ascii="Times New Roman" w:cs="Times New Roman" w:eastAsia="Times New Roman" w:hAnsi="Times New Roman"/>
          <w:sz w:val="24"/>
          <w:szCs w:val="24"/>
        </w:rPr>
        <w:t xml:space="preserve">San Martín de los Andes, abril de 2026</w:t>
      </w:r>
    </w:p>
    <w:sectPr>
      <w:headerReference w:type="default" r:id="rId7"/>
      <w:footerReference w:type="default" r:id="rId8"/>
      <w:pgSz w:w="11906" w:h="16838" w:orient="portrait"/>
      <w:pgMar w:top="1701" w:right="1701" w:bottom="1701"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80"/>
      <w:jc w:val="center"/>
    </w:pPr>
    <w:r>
      <w:rPr>
        <w:rFonts w:ascii="Times New Roman" w:cs="Times New Roman" w:eastAsia="Times New Roman" w:hAnsi="Times New Roman"/>
        <w:sz w:val="18"/>
        <w:szCs w:val="18"/>
      </w:rPr>
      <w:t xml:space="preserve">— </w:t>
    </w:r>
    <w:r>
      <w:rPr>
        <w:rFonts w:ascii="Times New Roman" w:cs="Times New Roman" w:eastAsia="Times New Roman" w:hAnsi="Times New Roman"/>
        <w:sz w:val="18"/>
        <w:szCs w:val="18"/>
      </w:rPr>
      <w:t xml:space="preserve">PAGE</w:t>
    </w:r>
    <w:r>
      <w:rPr>
        <w:rFonts w:ascii="Times New Roman" w:cs="Times New Roman" w:eastAsia="Times New Roman" w:hAnsi="Times New Roman"/>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80" w:before="0"/>
      <w:jc w:val="right"/>
    </w:pPr>
    <w:r>
      <w:rPr>
        <w:rFonts w:ascii="Times New Roman" w:cs="Times New Roman" w:eastAsia="Times New Roman" w:hAnsi="Times New Roman"/>
        <w:sz w:val="18"/>
        <w:szCs w:val="18"/>
      </w:rPr>
      <w:t xml:space="preserve">Crítica Jurídico-Ambiental — POT San Martín de los Andes — Abril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320"/>
      <w:outlineLvl w:val="0"/>
    </w:pPr>
    <w:rPr>
      <w:rFonts w:ascii="Times New Roman" w:cs="Times New Roman" w:eastAsia="Times New Roman" w:hAnsi="Times New Roman"/>
      <w:b/>
      <w:bCs/>
      <w:caps/>
      <w:sz w:val="24"/>
      <w:szCs w:val="24"/>
    </w:rPr>
  </w:style>
  <w:style w:type="paragraph" w:styleId="Heading2">
    <w:name w:val="Heading 2"/>
    <w:basedOn w:val="Normal"/>
    <w:next w:val="Normal"/>
    <w:pPr>
      <w:spacing w:after="80" w:before="240"/>
      <w:outlineLvl w:val="1"/>
    </w:pPr>
    <w:rPr>
      <w:rFonts w:ascii="Times New Roman" w:cs="Times New Roman" w:eastAsia="Times New Roman" w:hAnsi="Times New Roman"/>
      <w:b/>
      <w:bCs/>
      <w:sz w:val="24"/>
      <w:szCs w:val="24"/>
    </w:rPr>
  </w:style>
  <w:style w:type="paragraph" w:styleId="Heading3">
    <w:name w:val="Heading 3"/>
    <w:basedOn w:val="Normal"/>
    <w:next w:val="Normal"/>
    <w:pPr>
      <w:spacing w:after="60" w:before="180"/>
      <w:outlineLvl w:val="2"/>
    </w:pPr>
    <w:rPr>
      <w:rFonts w:ascii="Times New Roman" w:cs="Times New Roman" w:eastAsia="Times New Roman" w:hAnsi="Times New Roman"/>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2026-04-14T21:12:11.797Z</dcterms:created>
  <dcterms:modified xsi:type="dcterms:W3CDTF">2026-04-14T21:12:11.798Z</dcterms:modified>
</cp:coreProperties>
</file>

<file path=docProps/custom.xml><?xml version="1.0" encoding="utf-8"?>
<Properties xmlns="http://schemas.openxmlformats.org/officeDocument/2006/custom-properties" xmlns:vt="http://schemas.openxmlformats.org/officeDocument/2006/docPropsVTypes"/>
</file>